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4F" w:rsidRPr="004B3357" w:rsidRDefault="00F61E71" w:rsidP="00D27522">
      <w:pPr>
        <w:jc w:val="center"/>
        <w:rPr>
          <w:rFonts w:ascii="Arial Narrow" w:hAnsi="Arial Narrow"/>
          <w:u w:val="single"/>
        </w:rPr>
      </w:pPr>
    </w:p>
    <w:p w:rsidR="0040544F" w:rsidRPr="004B3357" w:rsidRDefault="00F3403F" w:rsidP="00D27522">
      <w:pPr>
        <w:jc w:val="center"/>
        <w:rPr>
          <w:rFonts w:ascii="Arial Narrow" w:hAnsi="Arial Narrow"/>
          <w:u w:val="single"/>
        </w:rPr>
      </w:pPr>
      <w:r w:rsidRPr="004B3357">
        <w:rPr>
          <w:rFonts w:ascii="Arial Narrow" w:hAnsi="Arial Narrow" w:cs="TrebuchetMS-Bold"/>
          <w:b/>
          <w:bCs/>
          <w:sz w:val="24"/>
          <w:szCs w:val="24"/>
        </w:rPr>
        <w:t>ESCOLA SECUNDÁRIA DO RESTELO</w:t>
      </w:r>
    </w:p>
    <w:p w:rsidR="0040544F" w:rsidRPr="004B3357" w:rsidRDefault="00F3403F" w:rsidP="00D27522">
      <w:pPr>
        <w:autoSpaceDE w:val="0"/>
        <w:autoSpaceDN w:val="0"/>
        <w:adjustRightInd w:val="0"/>
        <w:spacing w:after="0" w:line="240" w:lineRule="auto"/>
        <w:jc w:val="center"/>
        <w:rPr>
          <w:rFonts w:ascii="Arial Narrow" w:hAnsi="Arial Narrow" w:cs="TrebuchetMS-Bold"/>
          <w:b/>
          <w:bCs/>
          <w:sz w:val="20"/>
          <w:szCs w:val="20"/>
        </w:rPr>
      </w:pPr>
      <w:r w:rsidRPr="004B3357">
        <w:rPr>
          <w:rFonts w:ascii="Arial Narrow" w:hAnsi="Arial Narrow" w:cs="TrebuchetMS-Bold"/>
          <w:b/>
          <w:bCs/>
          <w:sz w:val="24"/>
          <w:szCs w:val="24"/>
        </w:rPr>
        <w:t xml:space="preserve">Calendarização da avaliação dos docentes- QE e Contratados – </w:t>
      </w:r>
      <w:r w:rsidRPr="004B3357">
        <w:rPr>
          <w:rFonts w:ascii="Arial Narrow" w:hAnsi="Arial Narrow" w:cs="TrebuchetMS-Bold"/>
          <w:b/>
          <w:bCs/>
          <w:sz w:val="20"/>
          <w:szCs w:val="20"/>
        </w:rPr>
        <w:t>2012/2013</w:t>
      </w:r>
    </w:p>
    <w:p w:rsidR="0040544F" w:rsidRPr="004B3357" w:rsidRDefault="00F3403F" w:rsidP="000511A3">
      <w:pPr>
        <w:autoSpaceDE w:val="0"/>
        <w:autoSpaceDN w:val="0"/>
        <w:adjustRightInd w:val="0"/>
        <w:spacing w:after="0" w:line="240" w:lineRule="auto"/>
        <w:jc w:val="both"/>
        <w:rPr>
          <w:rFonts w:ascii="Arial Narrow" w:hAnsi="Arial Narrow" w:cs="TrebuchetMS"/>
          <w:sz w:val="20"/>
          <w:szCs w:val="20"/>
        </w:rPr>
      </w:pPr>
      <w:r w:rsidRPr="004B3357">
        <w:rPr>
          <w:rFonts w:ascii="Arial Narrow" w:hAnsi="Arial Narrow" w:cs="TrebuchetMS"/>
          <w:sz w:val="20"/>
          <w:szCs w:val="20"/>
        </w:rPr>
        <w:t>Nos termos da alínea b) do ponto 2 do artigo 12º do Decreto - Regulamentar n.º 26/2012, de 21 de fevereiro, estabelece-se o seguinte calendário anual do processo de avaliação de desempenho do pessoal docente para o ano escolar de 2012-2013.</w:t>
      </w:r>
    </w:p>
    <w:p w:rsidR="0040544F" w:rsidRPr="004B3357" w:rsidRDefault="00F61E71" w:rsidP="000511A3">
      <w:pPr>
        <w:autoSpaceDE w:val="0"/>
        <w:autoSpaceDN w:val="0"/>
        <w:adjustRightInd w:val="0"/>
        <w:spacing w:after="0" w:line="240" w:lineRule="auto"/>
        <w:jc w:val="both"/>
        <w:rPr>
          <w:rFonts w:ascii="Arial Narrow" w:hAnsi="Arial Narrow" w:cs="TrebuchetMS"/>
          <w:sz w:val="20"/>
          <w:szCs w:val="20"/>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417"/>
        <w:gridCol w:w="6379"/>
        <w:gridCol w:w="1276"/>
        <w:gridCol w:w="3969"/>
      </w:tblGrid>
      <w:tr w:rsidR="006E4510" w:rsidRPr="004B3357" w:rsidTr="00F3403F">
        <w:tc>
          <w:tcPr>
            <w:tcW w:w="1702" w:type="dxa"/>
            <w:vMerge w:val="restart"/>
            <w:shd w:val="clear" w:color="auto" w:fill="E5DFEC" w:themeFill="accent4" w:themeFillTint="33"/>
          </w:tcPr>
          <w:p w:rsidR="0040544F" w:rsidRPr="004B3357" w:rsidRDefault="00F61E71" w:rsidP="00851228">
            <w:pPr>
              <w:spacing w:after="0" w:line="240" w:lineRule="auto"/>
              <w:jc w:val="center"/>
              <w:rPr>
                <w:rFonts w:ascii="Arial Narrow" w:hAnsi="Arial Narrow"/>
              </w:rPr>
            </w:pPr>
          </w:p>
          <w:p w:rsidR="0040544F" w:rsidRPr="004B3357" w:rsidRDefault="00F61E71" w:rsidP="00851228">
            <w:pPr>
              <w:spacing w:after="0" w:line="240" w:lineRule="auto"/>
              <w:jc w:val="center"/>
              <w:rPr>
                <w:rFonts w:ascii="Arial Narrow" w:hAnsi="Arial Narrow"/>
              </w:rPr>
            </w:pPr>
          </w:p>
          <w:p w:rsidR="0040544F" w:rsidRPr="004B3357" w:rsidRDefault="00F3403F" w:rsidP="00851228">
            <w:pPr>
              <w:spacing w:after="0" w:line="240" w:lineRule="auto"/>
              <w:jc w:val="center"/>
              <w:rPr>
                <w:rFonts w:ascii="Arial Narrow" w:hAnsi="Arial Narrow"/>
                <w:b/>
              </w:rPr>
            </w:pPr>
            <w:r w:rsidRPr="004B3357">
              <w:rPr>
                <w:rFonts w:ascii="Arial Narrow" w:hAnsi="Arial Narrow"/>
                <w:b/>
              </w:rPr>
              <w:t>FASE</w:t>
            </w:r>
          </w:p>
        </w:tc>
        <w:tc>
          <w:tcPr>
            <w:tcW w:w="13041" w:type="dxa"/>
            <w:gridSpan w:val="4"/>
            <w:shd w:val="clear" w:color="auto" w:fill="E5DFEC" w:themeFill="accent4" w:themeFillTint="33"/>
          </w:tcPr>
          <w:p w:rsidR="0040544F" w:rsidRPr="004B3357" w:rsidRDefault="00F61E71" w:rsidP="00851228">
            <w:pPr>
              <w:spacing w:after="0" w:line="240" w:lineRule="auto"/>
              <w:jc w:val="center"/>
              <w:rPr>
                <w:rFonts w:ascii="Arial Narrow" w:hAnsi="Arial Narrow"/>
                <w:b/>
              </w:rPr>
            </w:pPr>
          </w:p>
          <w:p w:rsidR="0040544F" w:rsidRPr="004B3357" w:rsidRDefault="00F3403F" w:rsidP="00851228">
            <w:pPr>
              <w:spacing w:after="0" w:line="240" w:lineRule="auto"/>
              <w:jc w:val="center"/>
              <w:rPr>
                <w:rFonts w:ascii="Arial Narrow" w:hAnsi="Arial Narrow"/>
                <w:b/>
              </w:rPr>
            </w:pPr>
            <w:r w:rsidRPr="004B3357">
              <w:rPr>
                <w:rFonts w:ascii="Arial Narrow" w:hAnsi="Arial Narrow"/>
                <w:b/>
              </w:rPr>
              <w:t>CRONOGRAMA DO PROCESSO DE AVALIAÇÃO DO DESEMPENHO</w:t>
            </w:r>
          </w:p>
          <w:p w:rsidR="0040544F" w:rsidRPr="004B3357" w:rsidRDefault="00F61E71" w:rsidP="00851228">
            <w:pPr>
              <w:spacing w:after="0" w:line="240" w:lineRule="auto"/>
              <w:jc w:val="center"/>
              <w:rPr>
                <w:rFonts w:ascii="Arial Narrow" w:hAnsi="Arial Narrow"/>
                <w:b/>
              </w:rPr>
            </w:pPr>
          </w:p>
        </w:tc>
      </w:tr>
      <w:tr w:rsidR="006E4510" w:rsidRPr="004B3357" w:rsidTr="00F3403F">
        <w:tc>
          <w:tcPr>
            <w:tcW w:w="1702" w:type="dxa"/>
            <w:vMerge/>
            <w:shd w:val="clear" w:color="auto" w:fill="E5DFEC" w:themeFill="accent4" w:themeFillTint="33"/>
          </w:tcPr>
          <w:p w:rsidR="0040544F" w:rsidRPr="004B3357" w:rsidRDefault="00F61E71" w:rsidP="00851228">
            <w:pPr>
              <w:spacing w:after="0" w:line="240" w:lineRule="auto"/>
              <w:rPr>
                <w:rFonts w:ascii="Arial Narrow" w:hAnsi="Arial Narrow"/>
              </w:rPr>
            </w:pPr>
          </w:p>
        </w:tc>
        <w:tc>
          <w:tcPr>
            <w:tcW w:w="1417" w:type="dxa"/>
            <w:shd w:val="clear" w:color="auto" w:fill="E5DFEC" w:themeFill="accent4" w:themeFillTint="33"/>
          </w:tcPr>
          <w:p w:rsidR="0040544F" w:rsidRPr="004B3357" w:rsidRDefault="00F61E71" w:rsidP="00851228">
            <w:pPr>
              <w:spacing w:after="0" w:line="240" w:lineRule="auto"/>
              <w:jc w:val="center"/>
              <w:rPr>
                <w:rFonts w:ascii="Arial Narrow" w:hAnsi="Arial Narrow"/>
                <w:b/>
              </w:rPr>
            </w:pPr>
          </w:p>
          <w:p w:rsidR="0040544F" w:rsidRPr="004B3357" w:rsidRDefault="00F3403F" w:rsidP="00851228">
            <w:pPr>
              <w:spacing w:after="0" w:line="240" w:lineRule="auto"/>
              <w:jc w:val="center"/>
              <w:rPr>
                <w:rFonts w:ascii="Arial Narrow" w:hAnsi="Arial Narrow"/>
                <w:b/>
                <w:sz w:val="16"/>
                <w:szCs w:val="16"/>
              </w:rPr>
            </w:pPr>
            <w:r w:rsidRPr="004B3357">
              <w:rPr>
                <w:rFonts w:ascii="Arial Narrow" w:hAnsi="Arial Narrow"/>
                <w:b/>
                <w:sz w:val="16"/>
                <w:szCs w:val="16"/>
              </w:rPr>
              <w:t>INTERVENIENTES</w:t>
            </w:r>
          </w:p>
        </w:tc>
        <w:tc>
          <w:tcPr>
            <w:tcW w:w="6379" w:type="dxa"/>
            <w:shd w:val="clear" w:color="auto" w:fill="E5DFEC" w:themeFill="accent4" w:themeFillTint="33"/>
          </w:tcPr>
          <w:p w:rsidR="0040544F" w:rsidRPr="004B3357" w:rsidRDefault="00F61E71" w:rsidP="00851228">
            <w:pPr>
              <w:spacing w:after="0" w:line="240" w:lineRule="auto"/>
              <w:jc w:val="center"/>
              <w:rPr>
                <w:rFonts w:ascii="Arial Narrow" w:hAnsi="Arial Narrow"/>
                <w:b/>
              </w:rPr>
            </w:pPr>
          </w:p>
          <w:p w:rsidR="0040544F" w:rsidRPr="004B3357" w:rsidRDefault="00F3403F" w:rsidP="00851228">
            <w:pPr>
              <w:spacing w:after="0" w:line="240" w:lineRule="auto"/>
              <w:jc w:val="center"/>
              <w:rPr>
                <w:rFonts w:ascii="Arial Narrow" w:hAnsi="Arial Narrow"/>
                <w:b/>
              </w:rPr>
            </w:pPr>
            <w:r w:rsidRPr="004B3357">
              <w:rPr>
                <w:rFonts w:ascii="Arial Narrow" w:hAnsi="Arial Narrow"/>
                <w:b/>
              </w:rPr>
              <w:t>OBSERVAÇÕES</w:t>
            </w:r>
          </w:p>
          <w:p w:rsidR="0040544F" w:rsidRPr="004B3357" w:rsidRDefault="00F61E71" w:rsidP="00851228">
            <w:pPr>
              <w:spacing w:after="0" w:line="240" w:lineRule="auto"/>
              <w:jc w:val="center"/>
              <w:rPr>
                <w:rFonts w:ascii="Arial Narrow" w:hAnsi="Arial Narrow"/>
                <w:b/>
              </w:rPr>
            </w:pPr>
          </w:p>
        </w:tc>
        <w:tc>
          <w:tcPr>
            <w:tcW w:w="1276" w:type="dxa"/>
            <w:shd w:val="clear" w:color="auto" w:fill="E5DFEC" w:themeFill="accent4" w:themeFillTint="33"/>
          </w:tcPr>
          <w:p w:rsidR="0040544F" w:rsidRPr="004B3357" w:rsidRDefault="00F61E71" w:rsidP="00851228">
            <w:pPr>
              <w:spacing w:after="0" w:line="240" w:lineRule="auto"/>
              <w:jc w:val="center"/>
              <w:rPr>
                <w:rFonts w:ascii="Arial Narrow" w:hAnsi="Arial Narrow"/>
                <w:b/>
              </w:rPr>
            </w:pPr>
          </w:p>
          <w:p w:rsidR="0040544F" w:rsidRPr="004B3357" w:rsidRDefault="00F3403F" w:rsidP="00851228">
            <w:pPr>
              <w:spacing w:after="0" w:line="240" w:lineRule="auto"/>
              <w:jc w:val="center"/>
              <w:rPr>
                <w:rFonts w:ascii="Arial Narrow" w:hAnsi="Arial Narrow"/>
                <w:b/>
              </w:rPr>
            </w:pPr>
            <w:r w:rsidRPr="004B3357">
              <w:rPr>
                <w:rFonts w:ascii="Arial Narrow" w:hAnsi="Arial Narrow"/>
                <w:b/>
              </w:rPr>
              <w:t>PRAZOS / DATAS</w:t>
            </w:r>
          </w:p>
        </w:tc>
        <w:tc>
          <w:tcPr>
            <w:tcW w:w="3969" w:type="dxa"/>
            <w:shd w:val="clear" w:color="auto" w:fill="E5DFEC" w:themeFill="accent4" w:themeFillTint="33"/>
          </w:tcPr>
          <w:p w:rsidR="0040544F" w:rsidRPr="004B3357" w:rsidRDefault="00F61E71" w:rsidP="00851228">
            <w:pPr>
              <w:spacing w:after="0" w:line="240" w:lineRule="auto"/>
              <w:jc w:val="center"/>
              <w:rPr>
                <w:rFonts w:ascii="Arial Narrow" w:hAnsi="Arial Narrow"/>
                <w:b/>
              </w:rPr>
            </w:pPr>
          </w:p>
          <w:p w:rsidR="0040544F" w:rsidRPr="004B3357" w:rsidRDefault="00F3403F" w:rsidP="00851228">
            <w:pPr>
              <w:spacing w:after="0" w:line="240" w:lineRule="auto"/>
              <w:jc w:val="center"/>
              <w:rPr>
                <w:rFonts w:ascii="Arial Narrow" w:hAnsi="Arial Narrow"/>
                <w:b/>
              </w:rPr>
            </w:pPr>
            <w:r w:rsidRPr="004B3357">
              <w:rPr>
                <w:rFonts w:ascii="Arial Narrow" w:hAnsi="Arial Narrow"/>
                <w:b/>
              </w:rPr>
              <w:t>OBJETIVO</w:t>
            </w:r>
          </w:p>
        </w:tc>
      </w:tr>
      <w:tr w:rsidR="006E4510" w:rsidRPr="004B3357" w:rsidTr="00851228">
        <w:tc>
          <w:tcPr>
            <w:tcW w:w="1702" w:type="dxa"/>
          </w:tcPr>
          <w:p w:rsidR="0040544F" w:rsidRPr="004B3357" w:rsidRDefault="00F61E71" w:rsidP="00851228">
            <w:pPr>
              <w:spacing w:after="0" w:line="240" w:lineRule="auto"/>
              <w:jc w:val="center"/>
              <w:rPr>
                <w:rFonts w:ascii="Arial Narrow" w:hAnsi="Arial Narrow"/>
                <w:b/>
                <w:sz w:val="20"/>
                <w:szCs w:val="20"/>
              </w:rPr>
            </w:pPr>
          </w:p>
          <w:p w:rsidR="0040544F"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Pedido de observação de aulas</w:t>
            </w:r>
          </w:p>
        </w:tc>
        <w:tc>
          <w:tcPr>
            <w:tcW w:w="1417" w:type="dxa"/>
          </w:tcPr>
          <w:p w:rsidR="0040544F" w:rsidRPr="004B3357" w:rsidRDefault="00F61E71" w:rsidP="00851228">
            <w:pPr>
              <w:spacing w:after="0" w:line="240" w:lineRule="auto"/>
              <w:jc w:val="center"/>
              <w:rPr>
                <w:rFonts w:ascii="Arial Narrow" w:hAnsi="Arial Narrow"/>
                <w:sz w:val="20"/>
                <w:szCs w:val="20"/>
              </w:rPr>
            </w:pPr>
          </w:p>
          <w:p w:rsidR="0040544F" w:rsidRPr="004B3357" w:rsidRDefault="00F61E71" w:rsidP="00851228">
            <w:pPr>
              <w:spacing w:after="0" w:line="240" w:lineRule="auto"/>
              <w:jc w:val="center"/>
              <w:rPr>
                <w:rFonts w:ascii="Arial Narrow" w:hAnsi="Arial Narrow"/>
                <w:sz w:val="20"/>
                <w:szCs w:val="20"/>
              </w:rPr>
            </w:pP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Avaliado</w:t>
            </w:r>
          </w:p>
        </w:tc>
        <w:tc>
          <w:tcPr>
            <w:tcW w:w="6379" w:type="dxa"/>
          </w:tcPr>
          <w:p w:rsidR="0040544F" w:rsidRPr="004B3357" w:rsidRDefault="00F3403F" w:rsidP="00851228">
            <w:pPr>
              <w:spacing w:after="0" w:line="240" w:lineRule="auto"/>
              <w:jc w:val="both"/>
              <w:rPr>
                <w:rFonts w:ascii="Arial Narrow" w:hAnsi="Arial Narrow"/>
                <w:sz w:val="20"/>
                <w:szCs w:val="20"/>
              </w:rPr>
            </w:pPr>
            <w:r w:rsidRPr="004B3357">
              <w:rPr>
                <w:rFonts w:ascii="Arial Narrow" w:hAnsi="Arial Narrow"/>
                <w:sz w:val="20"/>
                <w:szCs w:val="20"/>
              </w:rPr>
              <w:t>A observação de aulas é obrigatória para os docentes que se encontrem numa das seguintes situações: período probatório; integrados no 2.º e 4.º escalões e não pretendem recuperar a classificação da observação de aulas obtida em modelos de avaliação de desempenho anteriores, pretendem a atribuição da menção de Excelente, que tenham obtido a menção de Insuficiente ou ainda que pretendam requerer observação de aulas por qualquer outro motivo dos não referidos anteriormente.</w:t>
            </w:r>
          </w:p>
        </w:tc>
        <w:tc>
          <w:tcPr>
            <w:tcW w:w="1276" w:type="dxa"/>
          </w:tcPr>
          <w:p w:rsidR="0040544F" w:rsidRPr="004B3357" w:rsidRDefault="00F61E71" w:rsidP="00851228">
            <w:pPr>
              <w:spacing w:after="0" w:line="240" w:lineRule="auto"/>
              <w:rPr>
                <w:rFonts w:ascii="Arial Narrow" w:hAnsi="Arial Narrow"/>
                <w:sz w:val="20"/>
                <w:szCs w:val="20"/>
              </w:rPr>
            </w:pPr>
          </w:p>
          <w:p w:rsidR="0040544F" w:rsidRPr="004B3357" w:rsidRDefault="00F61E71" w:rsidP="00851228">
            <w:pPr>
              <w:spacing w:after="0" w:line="240" w:lineRule="auto"/>
              <w:rPr>
                <w:rFonts w:ascii="Arial Narrow" w:hAnsi="Arial Narrow"/>
                <w:sz w:val="20"/>
                <w:szCs w:val="20"/>
              </w:rPr>
            </w:pPr>
          </w:p>
          <w:p w:rsidR="0040544F" w:rsidRPr="004B3357" w:rsidRDefault="00F3403F" w:rsidP="006828CF">
            <w:pPr>
              <w:spacing w:after="0" w:line="240" w:lineRule="auto"/>
              <w:jc w:val="center"/>
              <w:rPr>
                <w:rFonts w:ascii="Arial Narrow" w:hAnsi="Arial Narrow"/>
                <w:sz w:val="20"/>
                <w:szCs w:val="20"/>
              </w:rPr>
            </w:pPr>
            <w:r w:rsidRPr="004B3357">
              <w:rPr>
                <w:rFonts w:ascii="Arial Narrow" w:hAnsi="Arial Narrow"/>
                <w:sz w:val="20"/>
                <w:szCs w:val="20"/>
              </w:rPr>
              <w:t>Final de dezembro</w:t>
            </w:r>
          </w:p>
        </w:tc>
        <w:tc>
          <w:tcPr>
            <w:tcW w:w="396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Proceder ao levantamento de docentes que pretendem requerer observação de aulas</w:t>
            </w:r>
          </w:p>
        </w:tc>
      </w:tr>
      <w:tr w:rsidR="006E4510" w:rsidRPr="004B3357" w:rsidTr="00851228">
        <w:tc>
          <w:tcPr>
            <w:tcW w:w="1702" w:type="dxa"/>
          </w:tcPr>
          <w:p w:rsidR="0040544F" w:rsidRPr="004B3357" w:rsidRDefault="00F3403F" w:rsidP="004E714C">
            <w:pPr>
              <w:spacing w:after="0" w:line="240" w:lineRule="auto"/>
              <w:jc w:val="center"/>
              <w:rPr>
                <w:rFonts w:ascii="Arial Narrow" w:hAnsi="Arial Narrow"/>
                <w:b/>
                <w:sz w:val="20"/>
                <w:szCs w:val="20"/>
              </w:rPr>
            </w:pPr>
            <w:r w:rsidRPr="004B3357">
              <w:rPr>
                <w:rFonts w:ascii="Arial Narrow" w:hAnsi="Arial Narrow"/>
                <w:b/>
                <w:sz w:val="20"/>
                <w:szCs w:val="20"/>
              </w:rPr>
              <w:t>Acompanhamento da</w:t>
            </w:r>
          </w:p>
          <w:p w:rsidR="0040544F"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avaliação</w:t>
            </w:r>
          </w:p>
        </w:tc>
        <w:tc>
          <w:tcPr>
            <w:tcW w:w="1417"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Coordenador de departamento ou avaliador por ele designado</w:t>
            </w:r>
          </w:p>
        </w:tc>
        <w:tc>
          <w:tcPr>
            <w:tcW w:w="637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O avaliador acompanha o desenvolvimento das atividades realizadas pelos avaliados.</w:t>
            </w:r>
          </w:p>
        </w:tc>
        <w:tc>
          <w:tcPr>
            <w:tcW w:w="1276" w:type="dxa"/>
          </w:tcPr>
          <w:p w:rsidR="0040544F" w:rsidRPr="004B3357" w:rsidRDefault="00F61E71" w:rsidP="00851228">
            <w:pPr>
              <w:spacing w:after="0" w:line="240" w:lineRule="auto"/>
              <w:rPr>
                <w:rFonts w:ascii="Arial Narrow" w:hAnsi="Arial Narrow"/>
                <w:sz w:val="20"/>
                <w:szCs w:val="20"/>
              </w:rPr>
            </w:pPr>
          </w:p>
        </w:tc>
        <w:tc>
          <w:tcPr>
            <w:tcW w:w="396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Acompanhar os docentes no processo de avaliação.</w:t>
            </w:r>
          </w:p>
        </w:tc>
      </w:tr>
      <w:tr w:rsidR="006E4510" w:rsidRPr="004B3357" w:rsidTr="00851228">
        <w:trPr>
          <w:trHeight w:val="1575"/>
        </w:trPr>
        <w:tc>
          <w:tcPr>
            <w:tcW w:w="1702" w:type="dxa"/>
            <w:vMerge w:val="restart"/>
          </w:tcPr>
          <w:p w:rsidR="0040544F" w:rsidRPr="004B3357" w:rsidRDefault="00F61E71" w:rsidP="00851228">
            <w:pPr>
              <w:spacing w:after="0" w:line="240" w:lineRule="auto"/>
              <w:jc w:val="center"/>
              <w:rPr>
                <w:rFonts w:ascii="Arial Narrow" w:hAnsi="Arial Narrow"/>
                <w:b/>
                <w:sz w:val="20"/>
                <w:szCs w:val="20"/>
              </w:rPr>
            </w:pPr>
          </w:p>
          <w:p w:rsidR="0040544F"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 xml:space="preserve">Entrega </w:t>
            </w:r>
            <w:r w:rsidR="00B97A27" w:rsidRPr="004B3357">
              <w:rPr>
                <w:rFonts w:ascii="Arial Narrow" w:hAnsi="Arial Narrow"/>
                <w:sz w:val="20"/>
                <w:szCs w:val="20"/>
              </w:rPr>
              <w:t>na Secretaria</w:t>
            </w:r>
            <w:r w:rsidR="00B97A27" w:rsidRPr="004B3357">
              <w:rPr>
                <w:rFonts w:ascii="Arial Narrow" w:hAnsi="Arial Narrow"/>
                <w:b/>
                <w:sz w:val="20"/>
                <w:szCs w:val="20"/>
              </w:rPr>
              <w:t xml:space="preserve"> </w:t>
            </w:r>
            <w:r w:rsidRPr="004B3357">
              <w:rPr>
                <w:rFonts w:ascii="Arial Narrow" w:hAnsi="Arial Narrow"/>
                <w:b/>
                <w:sz w:val="20"/>
                <w:szCs w:val="20"/>
              </w:rPr>
              <w:t>do Relatório de</w:t>
            </w:r>
          </w:p>
          <w:p w:rsidR="0040544F"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Autoavaliação referente ao ano letivo de 2012-2013</w:t>
            </w:r>
          </w:p>
          <w:p w:rsidR="0040544F" w:rsidRPr="004B3357" w:rsidRDefault="00F61E71" w:rsidP="00851228">
            <w:pPr>
              <w:spacing w:after="0" w:line="240" w:lineRule="auto"/>
              <w:jc w:val="center"/>
              <w:rPr>
                <w:rFonts w:ascii="Arial Narrow" w:hAnsi="Arial Narrow"/>
                <w:b/>
                <w:sz w:val="20"/>
                <w:szCs w:val="20"/>
              </w:rPr>
            </w:pPr>
          </w:p>
        </w:tc>
        <w:tc>
          <w:tcPr>
            <w:tcW w:w="1417" w:type="dxa"/>
            <w:vMerge w:val="restart"/>
          </w:tcPr>
          <w:p w:rsidR="0040544F" w:rsidRPr="004B3357" w:rsidRDefault="00F61E71" w:rsidP="00851228">
            <w:pPr>
              <w:spacing w:after="0" w:line="240" w:lineRule="auto"/>
              <w:rPr>
                <w:rFonts w:ascii="Arial Narrow" w:hAnsi="Arial Narrow"/>
                <w:sz w:val="20"/>
                <w:szCs w:val="20"/>
              </w:rPr>
            </w:pPr>
          </w:p>
          <w:p w:rsidR="0040544F" w:rsidRPr="004B3357" w:rsidRDefault="00F61E71" w:rsidP="00851228">
            <w:pPr>
              <w:spacing w:after="0" w:line="240" w:lineRule="auto"/>
              <w:rPr>
                <w:rFonts w:ascii="Arial Narrow" w:hAnsi="Arial Narrow"/>
                <w:sz w:val="20"/>
                <w:szCs w:val="20"/>
              </w:rPr>
            </w:pPr>
          </w:p>
          <w:p w:rsidR="0040544F" w:rsidRPr="004B3357" w:rsidRDefault="00F61E71" w:rsidP="00851228">
            <w:pPr>
              <w:spacing w:after="0" w:line="240" w:lineRule="auto"/>
              <w:rPr>
                <w:rFonts w:ascii="Arial Narrow" w:hAnsi="Arial Narrow"/>
                <w:sz w:val="20"/>
                <w:szCs w:val="20"/>
              </w:rPr>
            </w:pPr>
          </w:p>
          <w:p w:rsidR="0040544F" w:rsidRPr="004B3357" w:rsidRDefault="00F61E71" w:rsidP="00851228">
            <w:pPr>
              <w:spacing w:after="0" w:line="240" w:lineRule="auto"/>
              <w:rPr>
                <w:rFonts w:ascii="Arial Narrow" w:hAnsi="Arial Narrow"/>
                <w:sz w:val="20"/>
                <w:szCs w:val="20"/>
              </w:rPr>
            </w:pP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Avaliados</w:t>
            </w:r>
          </w:p>
        </w:tc>
        <w:tc>
          <w:tcPr>
            <w:tcW w:w="6379" w:type="dxa"/>
            <w:vMerge w:val="restart"/>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 xml:space="preserve">- O relatório de autoavaliação é um documento de reflexão que incide sobre os seguintes aspetos: </w:t>
            </w:r>
          </w:p>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a) Prática letiva (planificações/materiais pedagógicos/ instrumentos de avaliação/…);</w:t>
            </w:r>
          </w:p>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b) Atividades promovidas no âmbito do PT e PAA e o seu contributo para os objetivos e metas do PE;</w:t>
            </w:r>
          </w:p>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c) Análise dos resultados obtidos;</w:t>
            </w:r>
          </w:p>
          <w:p w:rsidR="0040544F" w:rsidRPr="004B3357" w:rsidRDefault="00F3403F" w:rsidP="00851228">
            <w:pPr>
              <w:spacing w:after="0" w:line="240" w:lineRule="auto"/>
              <w:jc w:val="both"/>
              <w:rPr>
                <w:rFonts w:ascii="Arial Narrow" w:hAnsi="Arial Narrow"/>
                <w:sz w:val="20"/>
                <w:szCs w:val="20"/>
              </w:rPr>
            </w:pPr>
            <w:r w:rsidRPr="004B3357">
              <w:rPr>
                <w:rFonts w:ascii="Arial Narrow" w:hAnsi="Arial Narrow"/>
                <w:sz w:val="20"/>
                <w:szCs w:val="20"/>
              </w:rPr>
              <w:t xml:space="preserve">d) Formação realizada e o contributo para a melhoria da ação educativa. </w:t>
            </w:r>
          </w:p>
          <w:p w:rsidR="0040544F" w:rsidRPr="004B3357" w:rsidRDefault="00F3403F" w:rsidP="00851228">
            <w:pPr>
              <w:spacing w:after="0" w:line="240" w:lineRule="auto"/>
              <w:jc w:val="both"/>
              <w:rPr>
                <w:rFonts w:ascii="Arial Narrow" w:hAnsi="Arial Narrow"/>
                <w:sz w:val="20"/>
                <w:szCs w:val="20"/>
              </w:rPr>
            </w:pPr>
            <w:r w:rsidRPr="004B3357">
              <w:rPr>
                <w:rFonts w:ascii="Arial Narrow" w:hAnsi="Arial Narrow"/>
                <w:sz w:val="20"/>
                <w:szCs w:val="20"/>
              </w:rPr>
              <w:t xml:space="preserve">- O relatório de autoavaliação deverá ser elaborado tendo em conta o estabelecido no art.º 19º e no art.º 27 do DR nº26 de 2012, de 21 de fevereiro. Se não tiver solicitado a observação de aulas deverá ser entregue ao respetivo avaliador via serviços administrativos. Caso contrário, terá de entregar também uma cópia do relatório destinada ao seu avaliador externo, ambos em envelope separado, fechado e com a indicação de CONFIDENCIAL. Os docentes contratados, se o seu contrato terminar antes desta data, deverão entregar o respetivo relatório 5 dias úteis antes do termo do contrato. </w:t>
            </w:r>
          </w:p>
        </w:tc>
        <w:tc>
          <w:tcPr>
            <w:tcW w:w="1276" w:type="dxa"/>
          </w:tcPr>
          <w:p w:rsidR="0040544F" w:rsidRPr="004B3357" w:rsidRDefault="00F61E71" w:rsidP="00851228">
            <w:pPr>
              <w:spacing w:after="0" w:line="240" w:lineRule="auto"/>
              <w:rPr>
                <w:rFonts w:ascii="Arial Narrow" w:hAnsi="Arial Narrow"/>
                <w:sz w:val="20"/>
                <w:szCs w:val="20"/>
              </w:rPr>
            </w:pPr>
          </w:p>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Docentes contratados</w:t>
            </w:r>
            <w:r w:rsidR="00B97A27" w:rsidRPr="004B3357">
              <w:rPr>
                <w:rFonts w:ascii="Arial Narrow" w:hAnsi="Arial Narrow"/>
                <w:sz w:val="20"/>
                <w:szCs w:val="20"/>
              </w:rPr>
              <w:t xml:space="preserve"> e </w:t>
            </w:r>
            <w:r w:rsidR="00B97A27" w:rsidRPr="004B3357">
              <w:rPr>
                <w:rFonts w:ascii="Arial Narrow" w:hAnsi="Arial Narrow"/>
                <w:b/>
                <w:sz w:val="20"/>
                <w:szCs w:val="20"/>
              </w:rPr>
              <w:t>com aulas assistidas</w:t>
            </w:r>
          </w:p>
          <w:p w:rsidR="0040544F" w:rsidRPr="004B3357" w:rsidRDefault="009C5F4F" w:rsidP="00851228">
            <w:pPr>
              <w:spacing w:after="0" w:line="240" w:lineRule="auto"/>
              <w:rPr>
                <w:rFonts w:ascii="Arial Narrow" w:hAnsi="Arial Narrow"/>
                <w:sz w:val="20"/>
                <w:szCs w:val="20"/>
              </w:rPr>
            </w:pPr>
            <w:r w:rsidRPr="004B3357">
              <w:rPr>
                <w:rFonts w:ascii="Arial Narrow" w:hAnsi="Arial Narrow"/>
                <w:sz w:val="20"/>
                <w:szCs w:val="20"/>
              </w:rPr>
              <w:t>a</w:t>
            </w:r>
            <w:r w:rsidR="00F3403F" w:rsidRPr="004B3357">
              <w:rPr>
                <w:rFonts w:ascii="Arial Narrow" w:hAnsi="Arial Narrow"/>
                <w:sz w:val="20"/>
                <w:szCs w:val="20"/>
              </w:rPr>
              <w:t>té 14 de junho de 2013</w:t>
            </w:r>
          </w:p>
        </w:tc>
        <w:tc>
          <w:tcPr>
            <w:tcW w:w="3969" w:type="dxa"/>
            <w:vMerge w:val="restart"/>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Receber as propostas de avaliação final.</w:t>
            </w:r>
          </w:p>
        </w:tc>
      </w:tr>
      <w:tr w:rsidR="006E4510" w:rsidRPr="004B3357" w:rsidTr="00851228">
        <w:trPr>
          <w:trHeight w:val="1200"/>
        </w:trPr>
        <w:tc>
          <w:tcPr>
            <w:tcW w:w="1702" w:type="dxa"/>
            <w:vMerge/>
          </w:tcPr>
          <w:p w:rsidR="0040544F" w:rsidRPr="004B3357" w:rsidRDefault="00F61E71" w:rsidP="00851228">
            <w:pPr>
              <w:spacing w:after="0" w:line="240" w:lineRule="auto"/>
              <w:jc w:val="center"/>
              <w:rPr>
                <w:rFonts w:ascii="Arial Narrow" w:hAnsi="Arial Narrow"/>
                <w:b/>
              </w:rPr>
            </w:pPr>
          </w:p>
        </w:tc>
        <w:tc>
          <w:tcPr>
            <w:tcW w:w="1417" w:type="dxa"/>
            <w:vMerge/>
          </w:tcPr>
          <w:p w:rsidR="0040544F" w:rsidRPr="004B3357" w:rsidRDefault="00F61E71" w:rsidP="00851228">
            <w:pPr>
              <w:spacing w:after="0" w:line="240" w:lineRule="auto"/>
              <w:rPr>
                <w:rFonts w:ascii="Arial Narrow" w:hAnsi="Arial Narrow"/>
                <w:sz w:val="20"/>
                <w:szCs w:val="20"/>
              </w:rPr>
            </w:pPr>
          </w:p>
        </w:tc>
        <w:tc>
          <w:tcPr>
            <w:tcW w:w="6379" w:type="dxa"/>
            <w:vMerge/>
          </w:tcPr>
          <w:p w:rsidR="0040544F" w:rsidRPr="004B3357" w:rsidRDefault="00F61E71" w:rsidP="00851228">
            <w:pPr>
              <w:spacing w:after="0" w:line="240" w:lineRule="auto"/>
              <w:rPr>
                <w:rFonts w:ascii="Arial Narrow" w:hAnsi="Arial Narrow"/>
                <w:sz w:val="20"/>
                <w:szCs w:val="20"/>
              </w:rPr>
            </w:pPr>
          </w:p>
        </w:tc>
        <w:tc>
          <w:tcPr>
            <w:tcW w:w="1276" w:type="dxa"/>
          </w:tcPr>
          <w:p w:rsidR="0040544F" w:rsidRPr="004B3357" w:rsidRDefault="00F61E71" w:rsidP="00851228">
            <w:pPr>
              <w:spacing w:after="0" w:line="240" w:lineRule="auto"/>
              <w:rPr>
                <w:rFonts w:ascii="Arial Narrow" w:hAnsi="Arial Narrow"/>
                <w:sz w:val="20"/>
                <w:szCs w:val="20"/>
              </w:rPr>
            </w:pPr>
          </w:p>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Restantes docentes até 30 de junho de 2013</w:t>
            </w:r>
          </w:p>
        </w:tc>
        <w:tc>
          <w:tcPr>
            <w:tcW w:w="3969" w:type="dxa"/>
            <w:vMerge/>
          </w:tcPr>
          <w:p w:rsidR="0040544F" w:rsidRPr="004B3357" w:rsidRDefault="00F61E71" w:rsidP="00851228">
            <w:pPr>
              <w:spacing w:after="0" w:line="240" w:lineRule="auto"/>
              <w:rPr>
                <w:rFonts w:ascii="Arial Narrow" w:hAnsi="Arial Narrow"/>
                <w:sz w:val="20"/>
                <w:szCs w:val="20"/>
              </w:rPr>
            </w:pPr>
          </w:p>
        </w:tc>
      </w:tr>
      <w:tr w:rsidR="006E4510" w:rsidRPr="004B3357" w:rsidTr="004340DD">
        <w:trPr>
          <w:trHeight w:val="810"/>
        </w:trPr>
        <w:tc>
          <w:tcPr>
            <w:tcW w:w="1702" w:type="dxa"/>
            <w:vMerge w:val="restart"/>
          </w:tcPr>
          <w:p w:rsidR="004340DD" w:rsidRPr="004B3357" w:rsidRDefault="00F61E71" w:rsidP="00851228">
            <w:pPr>
              <w:spacing w:after="0" w:line="240" w:lineRule="auto"/>
              <w:jc w:val="center"/>
              <w:rPr>
                <w:rFonts w:ascii="Arial Narrow" w:hAnsi="Arial Narrow"/>
                <w:b/>
              </w:rPr>
            </w:pPr>
          </w:p>
          <w:p w:rsidR="004340DD" w:rsidRPr="004B3357" w:rsidRDefault="00F61E71" w:rsidP="00851228">
            <w:pPr>
              <w:spacing w:after="0" w:line="240" w:lineRule="auto"/>
              <w:jc w:val="center"/>
              <w:rPr>
                <w:rFonts w:ascii="Arial Narrow" w:hAnsi="Arial Narrow"/>
                <w:b/>
              </w:rPr>
            </w:pPr>
          </w:p>
          <w:p w:rsidR="004340DD" w:rsidRPr="004B3357" w:rsidRDefault="00F61E71" w:rsidP="00851228">
            <w:pPr>
              <w:spacing w:after="0" w:line="240" w:lineRule="auto"/>
              <w:jc w:val="center"/>
              <w:rPr>
                <w:rFonts w:ascii="Arial Narrow" w:hAnsi="Arial Narrow"/>
                <w:b/>
              </w:rPr>
            </w:pPr>
          </w:p>
          <w:p w:rsidR="00B61DAA" w:rsidRPr="004B3357" w:rsidRDefault="00F61E71" w:rsidP="00851228">
            <w:pPr>
              <w:spacing w:after="0" w:line="240" w:lineRule="auto"/>
              <w:jc w:val="center"/>
              <w:rPr>
                <w:rFonts w:ascii="Arial Narrow" w:hAnsi="Arial Narrow"/>
                <w:b/>
              </w:rPr>
            </w:pPr>
          </w:p>
          <w:p w:rsidR="00B61DAA" w:rsidRPr="004B3357" w:rsidRDefault="00F61E71" w:rsidP="00851228">
            <w:pPr>
              <w:spacing w:after="0" w:line="240" w:lineRule="auto"/>
              <w:jc w:val="center"/>
              <w:rPr>
                <w:rFonts w:ascii="Arial Narrow" w:hAnsi="Arial Narrow"/>
                <w:b/>
              </w:rPr>
            </w:pPr>
          </w:p>
          <w:p w:rsidR="00B61DAA" w:rsidRPr="004B3357" w:rsidRDefault="00F61E71" w:rsidP="00851228">
            <w:pPr>
              <w:spacing w:after="0" w:line="240" w:lineRule="auto"/>
              <w:jc w:val="center"/>
              <w:rPr>
                <w:rFonts w:ascii="Arial Narrow" w:hAnsi="Arial Narrow"/>
                <w:b/>
              </w:rPr>
            </w:pPr>
          </w:p>
          <w:p w:rsidR="00B61DAA" w:rsidRPr="004B3357" w:rsidRDefault="00F61E71" w:rsidP="00851228">
            <w:pPr>
              <w:spacing w:after="0" w:line="240" w:lineRule="auto"/>
              <w:jc w:val="center"/>
              <w:rPr>
                <w:rFonts w:ascii="Arial Narrow" w:hAnsi="Arial Narrow"/>
                <w:b/>
              </w:rPr>
            </w:pPr>
          </w:p>
          <w:p w:rsidR="00DA1905" w:rsidRPr="004B3357" w:rsidRDefault="00F61E71" w:rsidP="00851228">
            <w:pPr>
              <w:spacing w:after="0" w:line="240" w:lineRule="auto"/>
              <w:jc w:val="center"/>
              <w:rPr>
                <w:rFonts w:ascii="Arial Narrow" w:hAnsi="Arial Narrow"/>
                <w:b/>
              </w:rPr>
            </w:pPr>
          </w:p>
          <w:p w:rsidR="004340DD"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Apreciação Prévia</w:t>
            </w:r>
          </w:p>
          <w:p w:rsidR="004340DD" w:rsidRPr="004B3357" w:rsidRDefault="00F61E71" w:rsidP="00851228">
            <w:pPr>
              <w:spacing w:after="0" w:line="240" w:lineRule="auto"/>
              <w:jc w:val="center"/>
              <w:rPr>
                <w:rFonts w:ascii="Arial Narrow" w:hAnsi="Arial Narrow"/>
                <w:b/>
              </w:rPr>
            </w:pPr>
          </w:p>
        </w:tc>
        <w:tc>
          <w:tcPr>
            <w:tcW w:w="1417" w:type="dxa"/>
            <w:vMerge w:val="restart"/>
          </w:tcPr>
          <w:p w:rsidR="004340DD" w:rsidRPr="004B3357" w:rsidRDefault="00F61E71" w:rsidP="00851228">
            <w:pPr>
              <w:spacing w:after="0" w:line="240" w:lineRule="auto"/>
              <w:rPr>
                <w:rFonts w:ascii="Arial Narrow" w:hAnsi="Arial Narrow"/>
                <w:sz w:val="20"/>
                <w:szCs w:val="20"/>
              </w:rPr>
            </w:pPr>
          </w:p>
          <w:p w:rsidR="004340DD" w:rsidRPr="004B3357" w:rsidRDefault="00F61E71" w:rsidP="00851228">
            <w:pPr>
              <w:spacing w:after="0" w:line="240" w:lineRule="auto"/>
              <w:jc w:val="center"/>
              <w:rPr>
                <w:rFonts w:ascii="Arial Narrow" w:hAnsi="Arial Narrow"/>
                <w:sz w:val="20"/>
                <w:szCs w:val="20"/>
              </w:rPr>
            </w:pPr>
          </w:p>
          <w:p w:rsidR="004340DD" w:rsidRPr="004B3357" w:rsidRDefault="00F61E71" w:rsidP="00851228">
            <w:pPr>
              <w:spacing w:after="0" w:line="240" w:lineRule="auto"/>
              <w:jc w:val="center"/>
              <w:rPr>
                <w:rFonts w:ascii="Arial Narrow" w:hAnsi="Arial Narrow"/>
                <w:sz w:val="20"/>
                <w:szCs w:val="20"/>
              </w:rPr>
            </w:pPr>
          </w:p>
          <w:p w:rsidR="004340DD"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Avaliador interno</w:t>
            </w:r>
          </w:p>
          <w:p w:rsidR="004340DD" w:rsidRPr="004B3357" w:rsidRDefault="00F61E71" w:rsidP="00851228">
            <w:pPr>
              <w:spacing w:after="0" w:line="240" w:lineRule="auto"/>
              <w:jc w:val="center"/>
              <w:rPr>
                <w:rFonts w:ascii="Arial Narrow" w:hAnsi="Arial Narrow"/>
                <w:sz w:val="20"/>
                <w:szCs w:val="20"/>
              </w:rPr>
            </w:pPr>
          </w:p>
        </w:tc>
        <w:tc>
          <w:tcPr>
            <w:tcW w:w="6379" w:type="dxa"/>
            <w:vMerge w:val="restart"/>
          </w:tcPr>
          <w:p w:rsidR="004340DD" w:rsidRPr="004B3357" w:rsidRDefault="00F61E71" w:rsidP="00851228">
            <w:pPr>
              <w:spacing w:after="0" w:line="240" w:lineRule="auto"/>
              <w:rPr>
                <w:rFonts w:ascii="Arial Narrow" w:hAnsi="Arial Narrow"/>
                <w:sz w:val="20"/>
                <w:szCs w:val="20"/>
              </w:rPr>
            </w:pPr>
          </w:p>
          <w:p w:rsidR="004340DD" w:rsidRPr="004B3357" w:rsidRDefault="00F61E71" w:rsidP="00851228">
            <w:pPr>
              <w:spacing w:after="0" w:line="240" w:lineRule="auto"/>
              <w:rPr>
                <w:rFonts w:ascii="Arial Narrow" w:hAnsi="Arial Narrow"/>
                <w:sz w:val="20"/>
                <w:szCs w:val="20"/>
              </w:rPr>
            </w:pPr>
          </w:p>
          <w:p w:rsidR="004340DD"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Análise do Relatório de Autoavaliação, elaboração do parecer, preenchimento do Documento de Registo e da Ficha de Avaliação Global (pontos 1,2 e 3 do artº14 do DR nº26 de 2012 de 21 de fevereiro).</w:t>
            </w:r>
          </w:p>
          <w:p w:rsidR="004340DD" w:rsidRPr="004B3357" w:rsidRDefault="00F61E71" w:rsidP="00851228">
            <w:pPr>
              <w:spacing w:after="0" w:line="240" w:lineRule="auto"/>
              <w:rPr>
                <w:rFonts w:ascii="Arial Narrow" w:hAnsi="Arial Narrow"/>
                <w:sz w:val="20"/>
                <w:szCs w:val="20"/>
              </w:rPr>
            </w:pPr>
          </w:p>
        </w:tc>
        <w:tc>
          <w:tcPr>
            <w:tcW w:w="1276" w:type="dxa"/>
          </w:tcPr>
          <w:p w:rsidR="004340DD"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Contratados - até 21 de junho</w:t>
            </w:r>
          </w:p>
        </w:tc>
        <w:tc>
          <w:tcPr>
            <w:tcW w:w="3969" w:type="dxa"/>
            <w:vMerge w:val="restart"/>
          </w:tcPr>
          <w:p w:rsidR="004340DD" w:rsidRPr="004B3357" w:rsidRDefault="00F3403F" w:rsidP="00BB5148">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Apreciar o relatório de autoavaliação, emitir o respetivo parece</w:t>
            </w:r>
            <w:r w:rsidR="004B3357" w:rsidRPr="004B3357">
              <w:rPr>
                <w:rFonts w:ascii="Arial Narrow" w:hAnsi="Arial Narrow" w:cs="Times New Roman"/>
                <w:color w:val="auto"/>
                <w:sz w:val="20"/>
                <w:szCs w:val="20"/>
              </w:rPr>
              <w:t>r.</w:t>
            </w:r>
            <w:r w:rsidRPr="004B3357">
              <w:rPr>
                <w:rFonts w:ascii="Arial Narrow" w:hAnsi="Arial Narrow" w:cs="Times New Roman"/>
                <w:color w:val="auto"/>
                <w:sz w:val="20"/>
                <w:szCs w:val="20"/>
              </w:rPr>
              <w:t xml:space="preserve"> Preencher o instrumento de registo e efetuar proposta de classificação através de preenchimento da Ficha de Avaliação Global a entregar à SADD. </w:t>
            </w:r>
          </w:p>
          <w:p w:rsidR="004340DD" w:rsidRPr="004B3357" w:rsidRDefault="00F61E71" w:rsidP="00851228">
            <w:pPr>
              <w:spacing w:after="0" w:line="240" w:lineRule="auto"/>
              <w:rPr>
                <w:rFonts w:ascii="Arial Narrow" w:hAnsi="Arial Narrow"/>
                <w:sz w:val="20"/>
                <w:szCs w:val="20"/>
              </w:rPr>
            </w:pPr>
          </w:p>
        </w:tc>
      </w:tr>
      <w:tr w:rsidR="006E4510" w:rsidRPr="004B3357" w:rsidTr="00B61DAA">
        <w:trPr>
          <w:trHeight w:val="732"/>
        </w:trPr>
        <w:tc>
          <w:tcPr>
            <w:tcW w:w="1702" w:type="dxa"/>
            <w:vMerge/>
          </w:tcPr>
          <w:p w:rsidR="004340DD" w:rsidRPr="004B3357" w:rsidRDefault="00F61E71" w:rsidP="00851228">
            <w:pPr>
              <w:spacing w:after="0" w:line="240" w:lineRule="auto"/>
              <w:jc w:val="center"/>
              <w:rPr>
                <w:rFonts w:ascii="Arial Narrow" w:hAnsi="Arial Narrow"/>
                <w:b/>
              </w:rPr>
            </w:pPr>
          </w:p>
        </w:tc>
        <w:tc>
          <w:tcPr>
            <w:tcW w:w="1417" w:type="dxa"/>
            <w:vMerge/>
          </w:tcPr>
          <w:p w:rsidR="004340DD" w:rsidRPr="004B3357" w:rsidRDefault="00F61E71" w:rsidP="00851228">
            <w:pPr>
              <w:spacing w:after="0" w:line="240" w:lineRule="auto"/>
              <w:rPr>
                <w:rFonts w:ascii="Arial Narrow" w:hAnsi="Arial Narrow"/>
                <w:sz w:val="20"/>
                <w:szCs w:val="20"/>
              </w:rPr>
            </w:pPr>
          </w:p>
        </w:tc>
        <w:tc>
          <w:tcPr>
            <w:tcW w:w="6379" w:type="dxa"/>
            <w:vMerge/>
          </w:tcPr>
          <w:p w:rsidR="004340DD" w:rsidRPr="004B3357" w:rsidRDefault="00F61E71" w:rsidP="00851228">
            <w:pPr>
              <w:spacing w:after="0" w:line="240" w:lineRule="auto"/>
              <w:rPr>
                <w:rFonts w:ascii="Arial Narrow" w:hAnsi="Arial Narrow"/>
                <w:sz w:val="20"/>
                <w:szCs w:val="20"/>
              </w:rPr>
            </w:pPr>
          </w:p>
        </w:tc>
        <w:tc>
          <w:tcPr>
            <w:tcW w:w="1276" w:type="dxa"/>
          </w:tcPr>
          <w:p w:rsidR="004340DD" w:rsidRPr="004B3357" w:rsidRDefault="00F3403F" w:rsidP="00851228">
            <w:pPr>
              <w:rPr>
                <w:rFonts w:ascii="Arial Narrow" w:hAnsi="Arial Narrow"/>
                <w:sz w:val="20"/>
                <w:szCs w:val="20"/>
              </w:rPr>
            </w:pPr>
            <w:r w:rsidRPr="004B3357">
              <w:rPr>
                <w:rFonts w:ascii="Arial Narrow" w:hAnsi="Arial Narrow"/>
                <w:sz w:val="20"/>
                <w:szCs w:val="20"/>
              </w:rPr>
              <w:t>Docentes de carreira -  até 8 de julho</w:t>
            </w:r>
          </w:p>
        </w:tc>
        <w:tc>
          <w:tcPr>
            <w:tcW w:w="3969" w:type="dxa"/>
            <w:vMerge/>
          </w:tcPr>
          <w:p w:rsidR="004340DD" w:rsidRPr="004B3357" w:rsidRDefault="00F61E71" w:rsidP="00BB5148">
            <w:pPr>
              <w:pStyle w:val="Default"/>
              <w:rPr>
                <w:rFonts w:ascii="Arial Narrow" w:hAnsi="Arial Narrow" w:cs="Times New Roman"/>
                <w:color w:val="auto"/>
                <w:sz w:val="20"/>
                <w:szCs w:val="20"/>
              </w:rPr>
            </w:pPr>
          </w:p>
        </w:tc>
      </w:tr>
      <w:tr w:rsidR="006E4510" w:rsidRPr="004B3357" w:rsidTr="00B61DAA">
        <w:trPr>
          <w:trHeight w:val="1001"/>
        </w:trPr>
        <w:tc>
          <w:tcPr>
            <w:tcW w:w="1702" w:type="dxa"/>
            <w:vMerge/>
          </w:tcPr>
          <w:p w:rsidR="001A1E66" w:rsidRPr="004B3357" w:rsidRDefault="00F61E71" w:rsidP="00851228">
            <w:pPr>
              <w:spacing w:after="0" w:line="240" w:lineRule="auto"/>
              <w:jc w:val="center"/>
              <w:rPr>
                <w:rFonts w:ascii="Arial Narrow" w:hAnsi="Arial Narrow"/>
                <w:b/>
              </w:rPr>
            </w:pPr>
          </w:p>
        </w:tc>
        <w:tc>
          <w:tcPr>
            <w:tcW w:w="1417" w:type="dxa"/>
          </w:tcPr>
          <w:p w:rsidR="001A1E66" w:rsidRPr="004B3357" w:rsidRDefault="00F61E71" w:rsidP="009728C3">
            <w:pPr>
              <w:spacing w:after="0" w:line="240" w:lineRule="auto"/>
              <w:jc w:val="center"/>
              <w:rPr>
                <w:rFonts w:ascii="Arial Narrow" w:hAnsi="Arial Narrow"/>
                <w:sz w:val="18"/>
                <w:szCs w:val="18"/>
              </w:rPr>
            </w:pPr>
          </w:p>
          <w:p w:rsidR="00DA1905" w:rsidRPr="004B3357" w:rsidRDefault="00F61E71" w:rsidP="009728C3">
            <w:pPr>
              <w:spacing w:after="0" w:line="240" w:lineRule="auto"/>
              <w:jc w:val="center"/>
              <w:rPr>
                <w:rFonts w:ascii="Arial Narrow" w:hAnsi="Arial Narrow"/>
                <w:sz w:val="18"/>
                <w:szCs w:val="18"/>
              </w:rPr>
            </w:pPr>
          </w:p>
          <w:p w:rsidR="001A1E66" w:rsidRPr="004B3357" w:rsidRDefault="00F3403F" w:rsidP="009728C3">
            <w:pPr>
              <w:spacing w:after="0" w:line="240" w:lineRule="auto"/>
              <w:jc w:val="center"/>
              <w:rPr>
                <w:rFonts w:ascii="Arial Narrow" w:hAnsi="Arial Narrow"/>
                <w:sz w:val="20"/>
                <w:szCs w:val="20"/>
              </w:rPr>
            </w:pPr>
            <w:r w:rsidRPr="004B3357">
              <w:rPr>
                <w:rFonts w:ascii="Arial Narrow" w:hAnsi="Arial Narrow"/>
                <w:sz w:val="20"/>
                <w:szCs w:val="20"/>
              </w:rPr>
              <w:t>Avaliador  externo</w:t>
            </w:r>
          </w:p>
          <w:p w:rsidR="001A1E66" w:rsidRPr="004B3357" w:rsidRDefault="00F61E71" w:rsidP="00851228">
            <w:pPr>
              <w:spacing w:after="0" w:line="240" w:lineRule="auto"/>
              <w:jc w:val="center"/>
              <w:rPr>
                <w:rFonts w:ascii="Arial Narrow" w:hAnsi="Arial Narrow"/>
                <w:sz w:val="18"/>
                <w:szCs w:val="18"/>
              </w:rPr>
            </w:pPr>
          </w:p>
        </w:tc>
        <w:tc>
          <w:tcPr>
            <w:tcW w:w="6379" w:type="dxa"/>
          </w:tcPr>
          <w:p w:rsidR="001A1E66" w:rsidRPr="004B3357" w:rsidRDefault="00F3403F" w:rsidP="001A1E66">
            <w:pPr>
              <w:rPr>
                <w:rFonts w:ascii="Arial Narrow" w:hAnsi="Arial Narrow"/>
                <w:sz w:val="20"/>
                <w:szCs w:val="20"/>
              </w:rPr>
            </w:pPr>
            <w:r w:rsidRPr="004B3357">
              <w:rPr>
                <w:rFonts w:ascii="Arial Narrow" w:hAnsi="Arial Narrow"/>
                <w:sz w:val="20"/>
                <w:szCs w:val="20"/>
              </w:rPr>
              <w:t>Análise do Relatório de Autoavaliação no que respeita às aulas observadas, elaboração do parecer e seu envio ao coordenador da bolsa em envelope fechado que por sua vez o reenvia ao diretor da escola do avaliado (artº4 do DR nº24 de 2012 de 26 de outubro).</w:t>
            </w:r>
          </w:p>
        </w:tc>
        <w:tc>
          <w:tcPr>
            <w:tcW w:w="1276" w:type="dxa"/>
          </w:tcPr>
          <w:p w:rsidR="001A1E66" w:rsidRPr="004B3357" w:rsidRDefault="00F3403F" w:rsidP="00B97A27">
            <w:pPr>
              <w:rPr>
                <w:rFonts w:ascii="Arial Narrow" w:hAnsi="Arial Narrow"/>
                <w:b/>
                <w:sz w:val="20"/>
                <w:szCs w:val="20"/>
              </w:rPr>
            </w:pPr>
            <w:r w:rsidRPr="004B3357">
              <w:rPr>
                <w:rFonts w:ascii="Arial Narrow" w:hAnsi="Arial Narrow"/>
                <w:b/>
                <w:sz w:val="20"/>
                <w:szCs w:val="20"/>
              </w:rPr>
              <w:t xml:space="preserve"> </w:t>
            </w:r>
            <w:r w:rsidR="00B97A27" w:rsidRPr="004B3357">
              <w:rPr>
                <w:rFonts w:ascii="Arial Narrow" w:hAnsi="Arial Narrow"/>
                <w:b/>
                <w:sz w:val="20"/>
                <w:szCs w:val="20"/>
              </w:rPr>
              <w:t>A definir pelo Centro de Formação Calvet Magalhães</w:t>
            </w:r>
          </w:p>
        </w:tc>
        <w:tc>
          <w:tcPr>
            <w:tcW w:w="3969" w:type="dxa"/>
          </w:tcPr>
          <w:p w:rsidR="001A1E66" w:rsidRPr="004B3357" w:rsidRDefault="00F3403F" w:rsidP="00B61DAA">
            <w:pPr>
              <w:rPr>
                <w:rFonts w:ascii="Arial Narrow" w:hAnsi="Arial Narrow"/>
                <w:sz w:val="20"/>
                <w:szCs w:val="20"/>
              </w:rPr>
            </w:pPr>
            <w:r w:rsidRPr="004B3357">
              <w:rPr>
                <w:rFonts w:ascii="Arial Narrow" w:hAnsi="Arial Narrow"/>
                <w:sz w:val="20"/>
                <w:szCs w:val="20"/>
              </w:rPr>
              <w:t xml:space="preserve">Elaboração do parecer no que respeita às aulas observadas </w:t>
            </w:r>
            <w:bookmarkStart w:id="0" w:name="_GoBack"/>
            <w:bookmarkEnd w:id="0"/>
          </w:p>
        </w:tc>
      </w:tr>
      <w:tr w:rsidR="006E4510" w:rsidRPr="004B3357" w:rsidTr="00B61DAA">
        <w:trPr>
          <w:trHeight w:val="1303"/>
        </w:trPr>
        <w:tc>
          <w:tcPr>
            <w:tcW w:w="1702" w:type="dxa"/>
            <w:vMerge/>
          </w:tcPr>
          <w:p w:rsidR="004340DD" w:rsidRPr="004B3357" w:rsidRDefault="00F61E71" w:rsidP="00851228">
            <w:pPr>
              <w:spacing w:after="0" w:line="240" w:lineRule="auto"/>
              <w:jc w:val="center"/>
              <w:rPr>
                <w:rFonts w:ascii="Arial Narrow" w:hAnsi="Arial Narrow"/>
                <w:b/>
              </w:rPr>
            </w:pPr>
          </w:p>
        </w:tc>
        <w:tc>
          <w:tcPr>
            <w:tcW w:w="1417" w:type="dxa"/>
          </w:tcPr>
          <w:p w:rsidR="004340DD" w:rsidRPr="004B3357" w:rsidRDefault="00F3403F" w:rsidP="00851228">
            <w:pPr>
              <w:spacing w:after="0" w:line="240" w:lineRule="auto"/>
              <w:jc w:val="center"/>
              <w:rPr>
                <w:rFonts w:ascii="Arial Narrow" w:hAnsi="Arial Narrow"/>
                <w:sz w:val="18"/>
                <w:szCs w:val="18"/>
              </w:rPr>
            </w:pPr>
            <w:r w:rsidRPr="004B3357">
              <w:rPr>
                <w:rFonts w:ascii="Arial Narrow" w:hAnsi="Arial Narrow"/>
                <w:sz w:val="18"/>
                <w:szCs w:val="18"/>
              </w:rPr>
              <w:t>Avaliador interno,</w:t>
            </w:r>
          </w:p>
          <w:p w:rsidR="004340DD" w:rsidRPr="004B3357" w:rsidRDefault="00F3403F" w:rsidP="004340DD">
            <w:pPr>
              <w:spacing w:after="0" w:line="240" w:lineRule="auto"/>
              <w:jc w:val="center"/>
              <w:rPr>
                <w:rFonts w:ascii="Arial Narrow" w:hAnsi="Arial Narrow"/>
                <w:sz w:val="18"/>
                <w:szCs w:val="18"/>
              </w:rPr>
            </w:pPr>
            <w:r w:rsidRPr="004B3357">
              <w:rPr>
                <w:rFonts w:ascii="Arial Narrow" w:hAnsi="Arial Narrow"/>
                <w:sz w:val="18"/>
                <w:szCs w:val="18"/>
              </w:rPr>
              <w:t xml:space="preserve"> avaliador externo e Diretor caso tenha havido ocorrência de aulas assistidas</w:t>
            </w:r>
          </w:p>
        </w:tc>
        <w:tc>
          <w:tcPr>
            <w:tcW w:w="6379" w:type="dxa"/>
          </w:tcPr>
          <w:p w:rsidR="004340DD" w:rsidRPr="004B3357" w:rsidRDefault="00F3403F" w:rsidP="004340DD">
            <w:pPr>
              <w:rPr>
                <w:rFonts w:ascii="Arial Narrow" w:hAnsi="Arial Narrow"/>
                <w:sz w:val="20"/>
                <w:szCs w:val="20"/>
              </w:rPr>
            </w:pPr>
            <w:r w:rsidRPr="004B3357">
              <w:rPr>
                <w:rFonts w:ascii="Arial Narrow" w:hAnsi="Arial Narrow"/>
                <w:sz w:val="20"/>
                <w:szCs w:val="20"/>
              </w:rPr>
              <w:t>O Diretor convoca o avaliador externo para uma reunião, na escola do avaliado, com conhecimento ao coordenador da bolsa, com o fim de articular a proposta de avaliação, com o avaliador interno.</w:t>
            </w:r>
          </w:p>
        </w:tc>
        <w:tc>
          <w:tcPr>
            <w:tcW w:w="1276" w:type="dxa"/>
          </w:tcPr>
          <w:p w:rsidR="004340DD" w:rsidRPr="004B3357" w:rsidRDefault="00B97A27" w:rsidP="00851228">
            <w:pPr>
              <w:rPr>
                <w:rFonts w:ascii="Arial Narrow" w:hAnsi="Arial Narrow"/>
                <w:b/>
                <w:sz w:val="20"/>
                <w:szCs w:val="20"/>
              </w:rPr>
            </w:pPr>
            <w:r w:rsidRPr="004B3357">
              <w:rPr>
                <w:rFonts w:ascii="Arial Narrow" w:hAnsi="Arial Narrow"/>
                <w:b/>
                <w:sz w:val="20"/>
                <w:szCs w:val="20"/>
              </w:rPr>
              <w:t>A definir pelo Centro de Formação Calvet Magalhães</w:t>
            </w:r>
          </w:p>
        </w:tc>
        <w:tc>
          <w:tcPr>
            <w:tcW w:w="3969" w:type="dxa"/>
          </w:tcPr>
          <w:p w:rsidR="004340DD"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Articulação entre avaliador interno e avaliador externo</w:t>
            </w:r>
          </w:p>
        </w:tc>
      </w:tr>
      <w:tr w:rsidR="006E4510" w:rsidRPr="004B3357" w:rsidTr="00851228">
        <w:trPr>
          <w:trHeight w:val="570"/>
        </w:trPr>
        <w:tc>
          <w:tcPr>
            <w:tcW w:w="1702" w:type="dxa"/>
            <w:vMerge w:val="restart"/>
          </w:tcPr>
          <w:p w:rsidR="0040544F" w:rsidRPr="004B3357" w:rsidRDefault="00F61E71" w:rsidP="00851228">
            <w:pPr>
              <w:spacing w:after="0" w:line="240" w:lineRule="auto"/>
              <w:jc w:val="center"/>
              <w:rPr>
                <w:rFonts w:ascii="Arial Narrow" w:hAnsi="Arial Narrow"/>
                <w:b/>
              </w:rPr>
            </w:pPr>
          </w:p>
          <w:p w:rsidR="0040544F"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Entrega e Conferência dos Elementos de Avaliação</w:t>
            </w:r>
          </w:p>
        </w:tc>
        <w:tc>
          <w:tcPr>
            <w:tcW w:w="1417" w:type="dxa"/>
            <w:vMerge w:val="restart"/>
          </w:tcPr>
          <w:p w:rsidR="0040544F" w:rsidRPr="004B3357" w:rsidRDefault="00F61E71" w:rsidP="00851228">
            <w:pPr>
              <w:spacing w:after="0" w:line="240" w:lineRule="auto"/>
              <w:jc w:val="center"/>
              <w:rPr>
                <w:rFonts w:ascii="Arial Narrow" w:hAnsi="Arial Narrow"/>
                <w:sz w:val="20"/>
                <w:szCs w:val="20"/>
              </w:rPr>
            </w:pP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Avaliadores e Secção de Avaliação</w:t>
            </w:r>
          </w:p>
        </w:tc>
        <w:tc>
          <w:tcPr>
            <w:tcW w:w="6379" w:type="dxa"/>
            <w:vMerge w:val="restart"/>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Entrega ao Presidente da SADD de (1) relatório de autoavaliação, (2) parecer do avaliador, (3) instrumento de registo e (4) ficha de avaliação global, de cada avaliado (alínea e) do nº 2 do artº 12º do DR nº26 de 2012 de 21 de fevereiro).</w:t>
            </w: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Contratados - até 28 de junho</w:t>
            </w:r>
          </w:p>
        </w:tc>
        <w:tc>
          <w:tcPr>
            <w:tcW w:w="3969" w:type="dxa"/>
            <w:vMerge w:val="restart"/>
          </w:tcPr>
          <w:p w:rsidR="0040544F" w:rsidRPr="004B3357" w:rsidRDefault="00F3403F" w:rsidP="00BB5148">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Receber e conferir as propostas de avaliação final. </w:t>
            </w:r>
          </w:p>
          <w:p w:rsidR="0040544F" w:rsidRPr="004B3357" w:rsidRDefault="00F61E71" w:rsidP="00851228">
            <w:pPr>
              <w:spacing w:after="0" w:line="240" w:lineRule="auto"/>
              <w:rPr>
                <w:rFonts w:ascii="Arial Narrow" w:hAnsi="Arial Narrow"/>
                <w:sz w:val="20"/>
                <w:szCs w:val="20"/>
              </w:rPr>
            </w:pPr>
          </w:p>
        </w:tc>
      </w:tr>
      <w:tr w:rsidR="006E4510" w:rsidRPr="004B3357" w:rsidTr="00851228">
        <w:trPr>
          <w:trHeight w:val="435"/>
        </w:trPr>
        <w:tc>
          <w:tcPr>
            <w:tcW w:w="1702" w:type="dxa"/>
            <w:vMerge/>
          </w:tcPr>
          <w:p w:rsidR="0040544F" w:rsidRPr="004B3357" w:rsidRDefault="00F61E71" w:rsidP="00851228">
            <w:pPr>
              <w:spacing w:after="0" w:line="240" w:lineRule="auto"/>
              <w:jc w:val="center"/>
              <w:rPr>
                <w:rFonts w:ascii="Arial Narrow" w:hAnsi="Arial Narrow"/>
                <w:b/>
              </w:rPr>
            </w:pPr>
          </w:p>
        </w:tc>
        <w:tc>
          <w:tcPr>
            <w:tcW w:w="1417" w:type="dxa"/>
            <w:vMerge/>
          </w:tcPr>
          <w:p w:rsidR="0040544F" w:rsidRPr="004B3357" w:rsidRDefault="00F61E71" w:rsidP="00851228">
            <w:pPr>
              <w:spacing w:after="0" w:line="240" w:lineRule="auto"/>
              <w:jc w:val="center"/>
              <w:rPr>
                <w:rFonts w:ascii="Arial Narrow" w:hAnsi="Arial Narrow"/>
                <w:sz w:val="20"/>
                <w:szCs w:val="20"/>
              </w:rPr>
            </w:pPr>
          </w:p>
        </w:tc>
        <w:tc>
          <w:tcPr>
            <w:tcW w:w="6379" w:type="dxa"/>
            <w:vMerge/>
          </w:tcPr>
          <w:p w:rsidR="0040544F" w:rsidRPr="004B3357" w:rsidRDefault="00F61E71" w:rsidP="00851228">
            <w:pPr>
              <w:spacing w:after="0" w:line="240" w:lineRule="auto"/>
              <w:rPr>
                <w:rFonts w:ascii="Arial Narrow" w:hAnsi="Arial Narrow"/>
                <w:sz w:val="20"/>
                <w:szCs w:val="20"/>
              </w:rPr>
            </w:pP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Docentes de carreira -  Até 18 de julho</w:t>
            </w:r>
          </w:p>
        </w:tc>
        <w:tc>
          <w:tcPr>
            <w:tcW w:w="3969" w:type="dxa"/>
            <w:vMerge/>
          </w:tcPr>
          <w:p w:rsidR="0040544F" w:rsidRPr="004B3357" w:rsidRDefault="00F61E71" w:rsidP="00BB5148">
            <w:pPr>
              <w:pStyle w:val="Default"/>
              <w:rPr>
                <w:rFonts w:ascii="Arial Narrow" w:hAnsi="Arial Narrow" w:cs="Times New Roman"/>
                <w:color w:val="auto"/>
                <w:sz w:val="20"/>
                <w:szCs w:val="20"/>
              </w:rPr>
            </w:pPr>
          </w:p>
        </w:tc>
      </w:tr>
      <w:tr w:rsidR="006E4510" w:rsidRPr="004B3357" w:rsidTr="00851228">
        <w:tc>
          <w:tcPr>
            <w:tcW w:w="1702" w:type="dxa"/>
          </w:tcPr>
          <w:p w:rsidR="0040544F" w:rsidRPr="004B3357" w:rsidRDefault="00F61E71" w:rsidP="00851228">
            <w:pPr>
              <w:spacing w:after="0" w:line="240" w:lineRule="auto"/>
              <w:jc w:val="center"/>
              <w:rPr>
                <w:rFonts w:ascii="Arial Narrow" w:hAnsi="Arial Narrow"/>
                <w:b/>
              </w:rPr>
            </w:pPr>
          </w:p>
          <w:p w:rsidR="0040544F"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Harmonização das propostas de avaliação</w:t>
            </w:r>
          </w:p>
          <w:p w:rsidR="0040544F" w:rsidRPr="004B3357" w:rsidRDefault="00F61E71" w:rsidP="00851228">
            <w:pPr>
              <w:spacing w:after="0" w:line="240" w:lineRule="auto"/>
              <w:jc w:val="center"/>
              <w:rPr>
                <w:rFonts w:ascii="Arial Narrow" w:hAnsi="Arial Narrow"/>
                <w:b/>
              </w:rPr>
            </w:pPr>
          </w:p>
        </w:tc>
        <w:tc>
          <w:tcPr>
            <w:tcW w:w="1417" w:type="dxa"/>
          </w:tcPr>
          <w:p w:rsidR="0040544F" w:rsidRPr="004B3357" w:rsidRDefault="00F61E71" w:rsidP="00851228">
            <w:pPr>
              <w:spacing w:after="0" w:line="240" w:lineRule="auto"/>
              <w:jc w:val="center"/>
              <w:rPr>
                <w:rFonts w:ascii="Arial Narrow" w:hAnsi="Arial Narrow"/>
                <w:sz w:val="20"/>
                <w:szCs w:val="20"/>
              </w:rPr>
            </w:pPr>
          </w:p>
          <w:p w:rsidR="0040544F" w:rsidRPr="004B3357" w:rsidRDefault="00F61E71" w:rsidP="00851228">
            <w:pPr>
              <w:spacing w:after="0" w:line="240" w:lineRule="auto"/>
              <w:jc w:val="center"/>
              <w:rPr>
                <w:rFonts w:ascii="Arial Narrow" w:hAnsi="Arial Narrow"/>
                <w:sz w:val="20"/>
                <w:szCs w:val="20"/>
              </w:rPr>
            </w:pP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Secção de Avaliação</w:t>
            </w:r>
          </w:p>
        </w:tc>
        <w:tc>
          <w:tcPr>
            <w:tcW w:w="637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A SADD analisa e harmoniza as propostas dos avaliadores (pontos 1 e 2 do artº 12 do DR nº26 de 2012 de 21 de fevereiro)</w:t>
            </w: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Até 19 de julho</w:t>
            </w:r>
          </w:p>
        </w:tc>
        <w:tc>
          <w:tcPr>
            <w:tcW w:w="3969" w:type="dxa"/>
          </w:tcPr>
          <w:p w:rsidR="0040544F" w:rsidRPr="004B3357" w:rsidRDefault="00F61E71" w:rsidP="00851228">
            <w:pPr>
              <w:spacing w:after="0" w:line="240" w:lineRule="auto"/>
              <w:rPr>
                <w:rFonts w:ascii="Arial Narrow" w:hAnsi="Arial Narrow"/>
                <w:sz w:val="20"/>
                <w:szCs w:val="20"/>
              </w:rPr>
            </w:pPr>
          </w:p>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w:t>
            </w:r>
          </w:p>
          <w:p w:rsidR="0040544F" w:rsidRPr="004B3357" w:rsidRDefault="00F3403F" w:rsidP="00BB5148">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Harmonizar as propostas de avaliação final. </w:t>
            </w:r>
          </w:p>
          <w:p w:rsidR="0040544F" w:rsidRPr="004B3357" w:rsidRDefault="00F61E71" w:rsidP="00851228">
            <w:pPr>
              <w:spacing w:after="0" w:line="240" w:lineRule="auto"/>
              <w:rPr>
                <w:rFonts w:ascii="Arial Narrow" w:hAnsi="Arial Narrow"/>
                <w:sz w:val="20"/>
                <w:szCs w:val="20"/>
              </w:rPr>
            </w:pPr>
          </w:p>
        </w:tc>
      </w:tr>
      <w:tr w:rsidR="006E4510" w:rsidRPr="004B3357" w:rsidTr="00851228">
        <w:tc>
          <w:tcPr>
            <w:tcW w:w="1702" w:type="dxa"/>
          </w:tcPr>
          <w:p w:rsidR="0040544F" w:rsidRPr="004B3357" w:rsidRDefault="00F61E71" w:rsidP="00851228">
            <w:pPr>
              <w:spacing w:after="0" w:line="240" w:lineRule="auto"/>
              <w:jc w:val="center"/>
              <w:rPr>
                <w:rFonts w:ascii="Arial Narrow" w:hAnsi="Arial Narrow"/>
                <w:b/>
                <w:sz w:val="20"/>
                <w:szCs w:val="20"/>
              </w:rPr>
            </w:pPr>
          </w:p>
          <w:p w:rsidR="0040544F"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Validação das propostas de avaliação e comunicação por escrito ao avaliado da avaliação final</w:t>
            </w:r>
          </w:p>
          <w:p w:rsidR="0040544F" w:rsidRPr="004B3357" w:rsidRDefault="00F61E71" w:rsidP="00851228">
            <w:pPr>
              <w:spacing w:after="0" w:line="240" w:lineRule="auto"/>
              <w:jc w:val="center"/>
              <w:rPr>
                <w:rFonts w:ascii="Arial Narrow" w:hAnsi="Arial Narrow"/>
                <w:b/>
                <w:sz w:val="20"/>
                <w:szCs w:val="20"/>
              </w:rPr>
            </w:pPr>
          </w:p>
        </w:tc>
        <w:tc>
          <w:tcPr>
            <w:tcW w:w="1417" w:type="dxa"/>
          </w:tcPr>
          <w:p w:rsidR="0040544F" w:rsidRPr="004B3357" w:rsidRDefault="00F61E71" w:rsidP="00851228">
            <w:pPr>
              <w:spacing w:after="0" w:line="240" w:lineRule="auto"/>
              <w:jc w:val="center"/>
              <w:rPr>
                <w:rFonts w:ascii="Arial Narrow" w:hAnsi="Arial Narrow"/>
                <w:sz w:val="20"/>
                <w:szCs w:val="20"/>
              </w:rPr>
            </w:pPr>
          </w:p>
          <w:p w:rsidR="0040544F" w:rsidRPr="004B3357" w:rsidRDefault="00F61E71" w:rsidP="00851228">
            <w:pPr>
              <w:spacing w:after="0" w:line="240" w:lineRule="auto"/>
              <w:jc w:val="center"/>
              <w:rPr>
                <w:rFonts w:ascii="Arial Narrow" w:hAnsi="Arial Narrow"/>
                <w:sz w:val="20"/>
                <w:szCs w:val="20"/>
              </w:rPr>
            </w:pPr>
          </w:p>
          <w:p w:rsidR="0040544F" w:rsidRPr="004B3357" w:rsidRDefault="00F61E71" w:rsidP="00851228">
            <w:pPr>
              <w:spacing w:after="0" w:line="240" w:lineRule="auto"/>
              <w:jc w:val="center"/>
              <w:rPr>
                <w:rFonts w:ascii="Arial Narrow" w:hAnsi="Arial Narrow"/>
                <w:sz w:val="20"/>
                <w:szCs w:val="20"/>
              </w:rPr>
            </w:pPr>
          </w:p>
          <w:p w:rsidR="0040544F" w:rsidRPr="004B3357" w:rsidRDefault="00F61E71" w:rsidP="00851228">
            <w:pPr>
              <w:spacing w:after="0" w:line="240" w:lineRule="auto"/>
              <w:jc w:val="center"/>
              <w:rPr>
                <w:rFonts w:ascii="Arial Narrow" w:hAnsi="Arial Narrow"/>
                <w:sz w:val="20"/>
                <w:szCs w:val="20"/>
              </w:rPr>
            </w:pP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Secção de Avaliação</w:t>
            </w:r>
          </w:p>
        </w:tc>
        <w:tc>
          <w:tcPr>
            <w:tcW w:w="637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Atribuição da classificação final, após a harmonização das propostas, garantindo a aplicação das percentagens de diferenciação; comunicação ao avaliado, por escrito,da proposta de classificação final (pontos nº 4 e 5 do art.º 21º do DR nº26 de 2012 de 21 de fevereiro).</w:t>
            </w: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QE -  entre 2 e 13 de setembro</w:t>
            </w:r>
          </w:p>
          <w:p w:rsidR="0040544F" w:rsidRPr="004B3357" w:rsidRDefault="00F61E71" w:rsidP="00851228">
            <w:pPr>
              <w:spacing w:after="0" w:line="240" w:lineRule="auto"/>
              <w:rPr>
                <w:rFonts w:ascii="Arial Narrow" w:hAnsi="Arial Narrow"/>
                <w:sz w:val="20"/>
                <w:szCs w:val="20"/>
              </w:rPr>
            </w:pPr>
          </w:p>
          <w:p w:rsidR="0040544F" w:rsidRPr="004B3357" w:rsidRDefault="00F3403F" w:rsidP="006828CF">
            <w:pPr>
              <w:spacing w:after="0" w:line="240" w:lineRule="auto"/>
              <w:rPr>
                <w:rFonts w:ascii="Arial Narrow" w:hAnsi="Arial Narrow"/>
                <w:sz w:val="20"/>
                <w:szCs w:val="20"/>
              </w:rPr>
            </w:pPr>
            <w:r w:rsidRPr="004B3357">
              <w:rPr>
                <w:rFonts w:ascii="Arial Narrow" w:hAnsi="Arial Narrow"/>
                <w:sz w:val="20"/>
                <w:szCs w:val="20"/>
              </w:rPr>
              <w:t>Contratados –até 29 de julho</w:t>
            </w:r>
          </w:p>
        </w:tc>
        <w:tc>
          <w:tcPr>
            <w:tcW w:w="3969" w:type="dxa"/>
          </w:tcPr>
          <w:p w:rsidR="0040544F" w:rsidRPr="004B3357" w:rsidRDefault="00F3403F" w:rsidP="00BB5148">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Validar e dar conhecimento ao avaliado da Avaliação Final do Desempenho Docente. </w:t>
            </w:r>
          </w:p>
          <w:p w:rsidR="0040544F" w:rsidRPr="004B3357" w:rsidRDefault="00F61E71" w:rsidP="00851228">
            <w:pPr>
              <w:spacing w:after="0" w:line="240" w:lineRule="auto"/>
              <w:rPr>
                <w:rFonts w:ascii="Arial Narrow" w:hAnsi="Arial Narrow"/>
                <w:sz w:val="20"/>
                <w:szCs w:val="20"/>
              </w:rPr>
            </w:pPr>
          </w:p>
        </w:tc>
      </w:tr>
      <w:tr w:rsidR="006E4510" w:rsidRPr="004B3357" w:rsidTr="00851228">
        <w:trPr>
          <w:trHeight w:val="480"/>
        </w:trPr>
        <w:tc>
          <w:tcPr>
            <w:tcW w:w="1702" w:type="dxa"/>
          </w:tcPr>
          <w:p w:rsidR="0040544F" w:rsidRPr="004B3357" w:rsidRDefault="00F61E71" w:rsidP="00851228">
            <w:pPr>
              <w:spacing w:after="0" w:line="240" w:lineRule="auto"/>
              <w:jc w:val="center"/>
              <w:rPr>
                <w:rFonts w:ascii="Arial Narrow" w:hAnsi="Arial Narrow"/>
                <w:b/>
                <w:sz w:val="20"/>
                <w:szCs w:val="20"/>
              </w:rPr>
            </w:pPr>
          </w:p>
          <w:p w:rsidR="0040544F"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Reclamação</w:t>
            </w:r>
          </w:p>
          <w:p w:rsidR="0040544F" w:rsidRPr="004B3357" w:rsidRDefault="00F61E71" w:rsidP="00851228">
            <w:pPr>
              <w:spacing w:after="0" w:line="240" w:lineRule="auto"/>
              <w:jc w:val="center"/>
              <w:rPr>
                <w:rFonts w:ascii="Arial Narrow" w:hAnsi="Arial Narrow"/>
                <w:b/>
                <w:sz w:val="20"/>
                <w:szCs w:val="20"/>
              </w:rPr>
            </w:pPr>
          </w:p>
        </w:tc>
        <w:tc>
          <w:tcPr>
            <w:tcW w:w="1417" w:type="dxa"/>
          </w:tcPr>
          <w:p w:rsidR="0040544F" w:rsidRPr="004B3357" w:rsidRDefault="00F61E71" w:rsidP="00851228">
            <w:pPr>
              <w:spacing w:after="0" w:line="240" w:lineRule="auto"/>
              <w:jc w:val="center"/>
              <w:rPr>
                <w:rFonts w:ascii="Arial Narrow" w:hAnsi="Arial Narrow"/>
                <w:sz w:val="20"/>
                <w:szCs w:val="20"/>
              </w:rPr>
            </w:pP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 xml:space="preserve">Avaliado </w:t>
            </w:r>
          </w:p>
        </w:tc>
        <w:tc>
          <w:tcPr>
            <w:tcW w:w="637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Eventual apresentação de reclamação escrita para a SADD, via serviços administrativos, contados da data da comunicação da avaliação final (ponto 1 do artigo 24º do DR nº26 de 2012 de 21 de fevereiro).</w:t>
            </w:r>
          </w:p>
          <w:p w:rsidR="0040544F" w:rsidRPr="004B3357" w:rsidRDefault="00F61E71" w:rsidP="00851228">
            <w:pPr>
              <w:spacing w:after="0" w:line="240" w:lineRule="auto"/>
              <w:rPr>
                <w:rFonts w:ascii="Arial Narrow" w:hAnsi="Arial Narrow"/>
                <w:sz w:val="20"/>
                <w:szCs w:val="20"/>
              </w:rPr>
            </w:pP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lastRenderedPageBreak/>
              <w:t>Até dez dias úteis</w:t>
            </w:r>
          </w:p>
        </w:tc>
        <w:tc>
          <w:tcPr>
            <w:tcW w:w="3969" w:type="dxa"/>
          </w:tcPr>
          <w:p w:rsidR="0040544F" w:rsidRPr="004B3357" w:rsidRDefault="00F3403F" w:rsidP="00BB5148">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Contestar a classificação atribuída. </w:t>
            </w:r>
          </w:p>
          <w:p w:rsidR="0040544F" w:rsidRPr="004B3357" w:rsidRDefault="00F61E71" w:rsidP="00851228">
            <w:pPr>
              <w:spacing w:after="0" w:line="240" w:lineRule="auto"/>
              <w:rPr>
                <w:rFonts w:ascii="Arial Narrow" w:hAnsi="Arial Narrow"/>
                <w:sz w:val="20"/>
                <w:szCs w:val="20"/>
              </w:rPr>
            </w:pPr>
          </w:p>
        </w:tc>
      </w:tr>
      <w:tr w:rsidR="006E4510" w:rsidRPr="004B3357" w:rsidTr="00851228">
        <w:trPr>
          <w:trHeight w:val="465"/>
        </w:trPr>
        <w:tc>
          <w:tcPr>
            <w:tcW w:w="1702" w:type="dxa"/>
            <w:vMerge w:val="restart"/>
          </w:tcPr>
          <w:p w:rsidR="00B61DAA" w:rsidRPr="004B3357" w:rsidRDefault="00F61E71" w:rsidP="00B61DAA">
            <w:pPr>
              <w:spacing w:after="0" w:line="240" w:lineRule="auto"/>
              <w:rPr>
                <w:rFonts w:ascii="Arial Narrow" w:hAnsi="Arial Narrow"/>
                <w:b/>
                <w:sz w:val="20"/>
                <w:szCs w:val="20"/>
              </w:rPr>
            </w:pPr>
          </w:p>
          <w:p w:rsidR="0040544F" w:rsidRPr="004B3357" w:rsidRDefault="00F3403F" w:rsidP="00851228">
            <w:pPr>
              <w:spacing w:after="0" w:line="240" w:lineRule="auto"/>
              <w:jc w:val="center"/>
              <w:rPr>
                <w:rFonts w:ascii="Arial Narrow" w:hAnsi="Arial Narrow"/>
                <w:b/>
                <w:sz w:val="20"/>
                <w:szCs w:val="20"/>
              </w:rPr>
            </w:pPr>
            <w:r w:rsidRPr="004B3357">
              <w:rPr>
                <w:rFonts w:ascii="Arial Narrow" w:hAnsi="Arial Narrow"/>
                <w:b/>
                <w:sz w:val="20"/>
                <w:szCs w:val="20"/>
              </w:rPr>
              <w:t>Decisão da reclamação</w:t>
            </w:r>
          </w:p>
        </w:tc>
        <w:tc>
          <w:tcPr>
            <w:tcW w:w="1417" w:type="dxa"/>
            <w:vMerge w:val="restart"/>
          </w:tcPr>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Secção de Avaliação</w:t>
            </w:r>
          </w:p>
        </w:tc>
        <w:tc>
          <w:tcPr>
            <w:tcW w:w="637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A reclamação é apreciada e é deferida ou não ( ponto 2 do artigo 24º do DR nº26 de 2012 de 21 de fevereiro).</w:t>
            </w:r>
          </w:p>
        </w:tc>
        <w:tc>
          <w:tcPr>
            <w:tcW w:w="1276" w:type="dxa"/>
            <w:vMerge w:val="restart"/>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No prazo máximo de 15 dias úteis</w:t>
            </w:r>
          </w:p>
        </w:tc>
        <w:tc>
          <w:tcPr>
            <w:tcW w:w="396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Apreciar e decidir acerca das reclamações.</w:t>
            </w:r>
          </w:p>
        </w:tc>
      </w:tr>
      <w:tr w:rsidR="006E4510" w:rsidRPr="004B3357" w:rsidTr="00851228">
        <w:trPr>
          <w:trHeight w:val="285"/>
        </w:trPr>
        <w:tc>
          <w:tcPr>
            <w:tcW w:w="1702" w:type="dxa"/>
            <w:vMerge/>
          </w:tcPr>
          <w:p w:rsidR="0040544F" w:rsidRPr="004B3357" w:rsidRDefault="00F61E71" w:rsidP="00851228">
            <w:pPr>
              <w:spacing w:after="0" w:line="240" w:lineRule="auto"/>
              <w:jc w:val="center"/>
              <w:rPr>
                <w:rFonts w:ascii="Arial Narrow" w:hAnsi="Arial Narrow"/>
                <w:b/>
              </w:rPr>
            </w:pPr>
          </w:p>
        </w:tc>
        <w:tc>
          <w:tcPr>
            <w:tcW w:w="1417" w:type="dxa"/>
            <w:vMerge/>
          </w:tcPr>
          <w:p w:rsidR="0040544F" w:rsidRPr="004B3357" w:rsidRDefault="00F61E71" w:rsidP="00851228">
            <w:pPr>
              <w:spacing w:after="0" w:line="240" w:lineRule="auto"/>
              <w:jc w:val="center"/>
              <w:rPr>
                <w:rFonts w:ascii="Arial Narrow" w:hAnsi="Arial Narrow"/>
                <w:sz w:val="20"/>
                <w:szCs w:val="20"/>
              </w:rPr>
            </w:pPr>
          </w:p>
        </w:tc>
        <w:tc>
          <w:tcPr>
            <w:tcW w:w="637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Notificação ao avaliado ( ponto 2 do artigo 24º do DR nº26 de 2012 de 21 de fevereiro).</w:t>
            </w:r>
          </w:p>
        </w:tc>
        <w:tc>
          <w:tcPr>
            <w:tcW w:w="1276" w:type="dxa"/>
            <w:vMerge/>
          </w:tcPr>
          <w:p w:rsidR="0040544F" w:rsidRPr="004B3357" w:rsidRDefault="00F61E71" w:rsidP="00851228">
            <w:pPr>
              <w:spacing w:after="0" w:line="240" w:lineRule="auto"/>
              <w:rPr>
                <w:rFonts w:ascii="Arial Narrow" w:hAnsi="Arial Narrow"/>
                <w:sz w:val="20"/>
                <w:szCs w:val="20"/>
              </w:rPr>
            </w:pPr>
          </w:p>
        </w:tc>
        <w:tc>
          <w:tcPr>
            <w:tcW w:w="3969"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Dar conhecimento ao avaliado da decisão tomada.</w:t>
            </w:r>
          </w:p>
          <w:p w:rsidR="0040544F" w:rsidRPr="004B3357" w:rsidRDefault="00F61E71" w:rsidP="00851228">
            <w:pPr>
              <w:spacing w:after="0" w:line="240" w:lineRule="auto"/>
              <w:rPr>
                <w:rFonts w:ascii="Arial Narrow" w:hAnsi="Arial Narrow"/>
                <w:sz w:val="20"/>
                <w:szCs w:val="20"/>
              </w:rPr>
            </w:pPr>
          </w:p>
        </w:tc>
      </w:tr>
      <w:tr w:rsidR="006E4510" w:rsidRPr="004B3357" w:rsidTr="00851228">
        <w:trPr>
          <w:trHeight w:val="270"/>
        </w:trPr>
        <w:tc>
          <w:tcPr>
            <w:tcW w:w="1702" w:type="dxa"/>
            <w:vMerge w:val="restart"/>
            <w:vAlign w:val="center"/>
          </w:tcPr>
          <w:p w:rsidR="0040544F" w:rsidRPr="004B3357" w:rsidRDefault="00F3403F" w:rsidP="00851228">
            <w:pPr>
              <w:spacing w:after="0" w:line="240" w:lineRule="auto"/>
              <w:jc w:val="center"/>
              <w:rPr>
                <w:rFonts w:ascii="Arial Narrow" w:hAnsi="Arial Narrow"/>
                <w:b/>
              </w:rPr>
            </w:pPr>
            <w:r w:rsidRPr="004B3357">
              <w:rPr>
                <w:rFonts w:ascii="Arial Narrow" w:hAnsi="Arial Narrow"/>
                <w:b/>
              </w:rPr>
              <w:t>Recurso</w:t>
            </w:r>
          </w:p>
        </w:tc>
        <w:tc>
          <w:tcPr>
            <w:tcW w:w="1417" w:type="dxa"/>
          </w:tcPr>
          <w:p w:rsidR="0040544F" w:rsidRPr="004B3357" w:rsidRDefault="00F61E71" w:rsidP="00851228">
            <w:pPr>
              <w:spacing w:after="0" w:line="240" w:lineRule="auto"/>
              <w:jc w:val="center"/>
              <w:rPr>
                <w:rFonts w:ascii="Arial Narrow" w:hAnsi="Arial Narrow"/>
                <w:sz w:val="20"/>
                <w:szCs w:val="20"/>
              </w:rPr>
            </w:pPr>
          </w:p>
          <w:p w:rsidR="0040544F" w:rsidRPr="004B3357" w:rsidRDefault="00F61E71" w:rsidP="00851228">
            <w:pPr>
              <w:spacing w:after="0" w:line="240" w:lineRule="auto"/>
              <w:jc w:val="center"/>
              <w:rPr>
                <w:rFonts w:ascii="Arial Narrow" w:hAnsi="Arial Narrow"/>
                <w:sz w:val="20"/>
                <w:szCs w:val="20"/>
              </w:rPr>
            </w:pP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Avaliado</w:t>
            </w:r>
          </w:p>
        </w:tc>
        <w:tc>
          <w:tcPr>
            <w:tcW w:w="6379" w:type="dxa"/>
          </w:tcPr>
          <w:p w:rsidR="0040544F" w:rsidRPr="004B3357" w:rsidRDefault="00F61E71" w:rsidP="00851228">
            <w:pPr>
              <w:spacing w:after="0" w:line="240" w:lineRule="auto"/>
              <w:rPr>
                <w:rFonts w:ascii="Arial Narrow" w:hAnsi="Arial Narrow"/>
                <w:sz w:val="20"/>
                <w:szCs w:val="20"/>
              </w:rPr>
            </w:pPr>
          </w:p>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Eventual apresentação de recurso ao presidente do conselho geral e indicação do seu árbitro e respetivos contactos (pontos 1 e 3 do artigo 25º do DR nº26 de 2012 de 21 de fevereiro).</w:t>
            </w: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10 dias úteis após notificação da  decisão da reclamação</w:t>
            </w:r>
          </w:p>
        </w:tc>
        <w:tc>
          <w:tcPr>
            <w:tcW w:w="3969" w:type="dxa"/>
          </w:tcPr>
          <w:p w:rsidR="0040544F" w:rsidRPr="004B3357" w:rsidRDefault="00F3403F" w:rsidP="00BB5148">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Contestar a classificação atribuída. </w:t>
            </w:r>
          </w:p>
          <w:p w:rsidR="0040544F" w:rsidRPr="004B3357" w:rsidRDefault="00F61E71" w:rsidP="00851228">
            <w:pPr>
              <w:spacing w:after="0" w:line="240" w:lineRule="auto"/>
              <w:rPr>
                <w:rFonts w:ascii="Arial Narrow" w:hAnsi="Arial Narrow"/>
                <w:sz w:val="20"/>
                <w:szCs w:val="20"/>
              </w:rPr>
            </w:pPr>
          </w:p>
        </w:tc>
      </w:tr>
      <w:tr w:rsidR="006E4510" w:rsidRPr="004B3357" w:rsidTr="00851228">
        <w:trPr>
          <w:trHeight w:val="997"/>
        </w:trPr>
        <w:tc>
          <w:tcPr>
            <w:tcW w:w="1702" w:type="dxa"/>
            <w:vMerge/>
          </w:tcPr>
          <w:p w:rsidR="0040544F" w:rsidRPr="004B3357" w:rsidRDefault="00F61E71" w:rsidP="00851228">
            <w:pPr>
              <w:spacing w:after="0" w:line="240" w:lineRule="auto"/>
              <w:jc w:val="center"/>
              <w:rPr>
                <w:rFonts w:ascii="Arial Narrow" w:hAnsi="Arial Narrow"/>
                <w:b/>
              </w:rPr>
            </w:pPr>
          </w:p>
        </w:tc>
        <w:tc>
          <w:tcPr>
            <w:tcW w:w="1417" w:type="dxa"/>
          </w:tcPr>
          <w:p w:rsidR="0040544F" w:rsidRPr="004B3357" w:rsidRDefault="00F61E71" w:rsidP="00851228">
            <w:pPr>
              <w:spacing w:after="0" w:line="240" w:lineRule="auto"/>
              <w:jc w:val="center"/>
              <w:rPr>
                <w:rFonts w:ascii="Arial Narrow" w:hAnsi="Arial Narrow"/>
                <w:sz w:val="20"/>
                <w:szCs w:val="20"/>
              </w:rPr>
            </w:pP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Presidente do Conselho Geral ou quem o substitua</w:t>
            </w:r>
          </w:p>
        </w:tc>
        <w:tc>
          <w:tcPr>
            <w:tcW w:w="6379" w:type="dxa"/>
          </w:tcPr>
          <w:p w:rsidR="0040544F" w:rsidRPr="004B3357" w:rsidRDefault="00F61E71" w:rsidP="00673722">
            <w:pPr>
              <w:pStyle w:val="Default"/>
              <w:rPr>
                <w:color w:val="auto"/>
                <w:sz w:val="18"/>
                <w:szCs w:val="18"/>
              </w:rPr>
            </w:pPr>
          </w:p>
          <w:p w:rsidR="0040544F" w:rsidRPr="004B3357" w:rsidRDefault="00F3403F" w:rsidP="005C7DB7">
            <w:pPr>
              <w:spacing w:after="0" w:line="240" w:lineRule="auto"/>
              <w:rPr>
                <w:rFonts w:ascii="Arial Narrow" w:hAnsi="Arial Narrow"/>
                <w:sz w:val="20"/>
                <w:szCs w:val="20"/>
              </w:rPr>
            </w:pPr>
            <w:r w:rsidRPr="004B3357">
              <w:rPr>
                <w:rFonts w:ascii="Arial Narrow" w:hAnsi="Arial Narrow"/>
                <w:sz w:val="20"/>
                <w:szCs w:val="20"/>
              </w:rPr>
              <w:t>Notificação do Diretor ou da Secção de Avaliação para contra alegar e nomear o seu árbitro. ( ponto 4 do artigo 25º do DR nº26 de 2012 de 21 de fevereiro).</w:t>
            </w:r>
          </w:p>
          <w:p w:rsidR="0040544F" w:rsidRPr="004B3357" w:rsidRDefault="00F61E71" w:rsidP="00163A58">
            <w:pPr>
              <w:pStyle w:val="Default"/>
              <w:rPr>
                <w:rFonts w:ascii="Arial Narrow" w:hAnsi="Arial Narrow" w:cs="Times New Roman"/>
                <w:color w:val="auto"/>
                <w:sz w:val="20"/>
                <w:szCs w:val="20"/>
              </w:rPr>
            </w:pPr>
          </w:p>
        </w:tc>
        <w:tc>
          <w:tcPr>
            <w:tcW w:w="1276" w:type="dxa"/>
          </w:tcPr>
          <w:p w:rsidR="0040544F" w:rsidRPr="004B3357" w:rsidRDefault="00F3403F" w:rsidP="00851228">
            <w:pPr>
              <w:spacing w:after="0" w:line="240" w:lineRule="auto"/>
              <w:rPr>
                <w:rFonts w:ascii="Arial Narrow" w:hAnsi="Arial Narrow"/>
              </w:rPr>
            </w:pPr>
            <w:r w:rsidRPr="004B3357">
              <w:rPr>
                <w:rFonts w:ascii="Arial Narrow" w:hAnsi="Arial Narrow"/>
                <w:sz w:val="20"/>
                <w:szCs w:val="20"/>
              </w:rPr>
              <w:t>No prazo de 2 dias úteis após a recepçãp da reclamação</w:t>
            </w:r>
          </w:p>
        </w:tc>
        <w:tc>
          <w:tcPr>
            <w:tcW w:w="3969" w:type="dxa"/>
            <w:vMerge w:val="restart"/>
          </w:tcPr>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673722">
            <w:pPr>
              <w:pStyle w:val="Default"/>
              <w:rPr>
                <w:rFonts w:ascii="Arial Narrow" w:hAnsi="Arial Narrow" w:cs="Times New Roman"/>
                <w:color w:val="auto"/>
                <w:sz w:val="20"/>
                <w:szCs w:val="20"/>
              </w:rPr>
            </w:pPr>
          </w:p>
          <w:p w:rsidR="0040544F" w:rsidRPr="004B3357" w:rsidRDefault="00F3403F" w:rsidP="00673722">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Proceder a contra- alegação e nomeação do árbitro que representará a secção </w:t>
            </w:r>
          </w:p>
          <w:p w:rsidR="0040544F" w:rsidRPr="004B3357" w:rsidRDefault="00F61E71" w:rsidP="00851228">
            <w:pPr>
              <w:spacing w:after="0" w:line="240" w:lineRule="auto"/>
              <w:rPr>
                <w:rFonts w:ascii="Arial Narrow" w:hAnsi="Arial Narrow"/>
                <w:sz w:val="20"/>
                <w:szCs w:val="20"/>
              </w:rPr>
            </w:pPr>
          </w:p>
        </w:tc>
      </w:tr>
      <w:tr w:rsidR="006E4510" w:rsidRPr="004B3357" w:rsidTr="00851228">
        <w:trPr>
          <w:trHeight w:val="727"/>
        </w:trPr>
        <w:tc>
          <w:tcPr>
            <w:tcW w:w="1702" w:type="dxa"/>
            <w:vMerge/>
          </w:tcPr>
          <w:p w:rsidR="0040544F" w:rsidRPr="004B3357" w:rsidRDefault="00F61E71" w:rsidP="00851228">
            <w:pPr>
              <w:spacing w:after="0" w:line="240" w:lineRule="auto"/>
              <w:jc w:val="center"/>
              <w:rPr>
                <w:rFonts w:ascii="Arial Narrow" w:hAnsi="Arial Narrow"/>
                <w:b/>
              </w:rPr>
            </w:pPr>
          </w:p>
        </w:tc>
        <w:tc>
          <w:tcPr>
            <w:tcW w:w="1417" w:type="dxa"/>
          </w:tcPr>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Diretor ou</w:t>
            </w: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Secção de Avaliação</w:t>
            </w:r>
          </w:p>
        </w:tc>
        <w:tc>
          <w:tcPr>
            <w:tcW w:w="6379" w:type="dxa"/>
          </w:tcPr>
          <w:p w:rsidR="0040544F" w:rsidRPr="004B3357" w:rsidRDefault="00F3403F" w:rsidP="00163A58">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Apresentação da contra-alegação da SADD e nomeação do seu árbitro (p</w:t>
            </w:r>
            <w:r w:rsidRPr="004B3357">
              <w:rPr>
                <w:rFonts w:ascii="Arial Narrow" w:hAnsi="Arial Narrow"/>
                <w:color w:val="auto"/>
                <w:sz w:val="20"/>
                <w:szCs w:val="20"/>
              </w:rPr>
              <w:t>onto 4 do artigo 25º do DR nº26 de 2012 de 21 de fevereiro).</w:t>
            </w: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No prazo de 10 dias úteis</w:t>
            </w:r>
          </w:p>
        </w:tc>
        <w:tc>
          <w:tcPr>
            <w:tcW w:w="3969" w:type="dxa"/>
            <w:vMerge/>
          </w:tcPr>
          <w:p w:rsidR="0040544F" w:rsidRPr="004B3357" w:rsidRDefault="00F61E71" w:rsidP="00851228">
            <w:pPr>
              <w:spacing w:after="0" w:line="240" w:lineRule="auto"/>
              <w:rPr>
                <w:rFonts w:ascii="Arial Narrow" w:hAnsi="Arial Narrow"/>
                <w:sz w:val="20"/>
                <w:szCs w:val="20"/>
              </w:rPr>
            </w:pPr>
          </w:p>
        </w:tc>
      </w:tr>
      <w:tr w:rsidR="006E4510" w:rsidRPr="004B3357" w:rsidTr="00851228">
        <w:trPr>
          <w:trHeight w:val="405"/>
        </w:trPr>
        <w:tc>
          <w:tcPr>
            <w:tcW w:w="1702" w:type="dxa"/>
            <w:vMerge/>
          </w:tcPr>
          <w:p w:rsidR="0040544F" w:rsidRPr="004B3357" w:rsidRDefault="00F61E71" w:rsidP="00851228">
            <w:pPr>
              <w:spacing w:after="0" w:line="240" w:lineRule="auto"/>
              <w:jc w:val="center"/>
              <w:rPr>
                <w:rFonts w:ascii="Arial Narrow" w:hAnsi="Arial Narrow"/>
                <w:b/>
              </w:rPr>
            </w:pPr>
          </w:p>
        </w:tc>
        <w:tc>
          <w:tcPr>
            <w:tcW w:w="1417" w:type="dxa"/>
            <w:vMerge w:val="restart"/>
          </w:tcPr>
          <w:p w:rsidR="00B61DAA" w:rsidRPr="004B3357" w:rsidRDefault="00F61E71" w:rsidP="00851228">
            <w:pPr>
              <w:spacing w:after="0" w:line="240" w:lineRule="auto"/>
              <w:jc w:val="center"/>
              <w:rPr>
                <w:rFonts w:ascii="Arial Narrow" w:hAnsi="Arial Narrow"/>
                <w:sz w:val="20"/>
                <w:szCs w:val="20"/>
              </w:rPr>
            </w:pPr>
          </w:p>
          <w:p w:rsidR="00B61DAA" w:rsidRPr="004B3357" w:rsidRDefault="00F61E71" w:rsidP="00851228">
            <w:pPr>
              <w:spacing w:after="0" w:line="240" w:lineRule="auto"/>
              <w:jc w:val="center"/>
              <w:rPr>
                <w:rFonts w:ascii="Arial Narrow" w:hAnsi="Arial Narrow"/>
                <w:sz w:val="20"/>
                <w:szCs w:val="20"/>
              </w:rPr>
            </w:pPr>
          </w:p>
          <w:p w:rsidR="00B61DAA" w:rsidRPr="004B3357" w:rsidRDefault="00F61E71" w:rsidP="00851228">
            <w:pPr>
              <w:spacing w:after="0" w:line="240" w:lineRule="auto"/>
              <w:jc w:val="center"/>
              <w:rPr>
                <w:rFonts w:ascii="Arial Narrow" w:hAnsi="Arial Narrow"/>
                <w:sz w:val="20"/>
                <w:szCs w:val="20"/>
              </w:rPr>
            </w:pPr>
          </w:p>
          <w:p w:rsidR="00B61DAA" w:rsidRPr="004B3357" w:rsidRDefault="00F61E71" w:rsidP="00851228">
            <w:pPr>
              <w:spacing w:after="0" w:line="240" w:lineRule="auto"/>
              <w:jc w:val="center"/>
              <w:rPr>
                <w:rFonts w:ascii="Arial Narrow" w:hAnsi="Arial Narrow"/>
                <w:sz w:val="20"/>
                <w:szCs w:val="20"/>
              </w:rPr>
            </w:pPr>
          </w:p>
          <w:p w:rsidR="00B61DAA" w:rsidRPr="004B3357" w:rsidRDefault="00F61E71" w:rsidP="00851228">
            <w:pPr>
              <w:spacing w:after="0" w:line="240" w:lineRule="auto"/>
              <w:jc w:val="center"/>
              <w:rPr>
                <w:rFonts w:ascii="Arial Narrow" w:hAnsi="Arial Narrow"/>
                <w:sz w:val="20"/>
                <w:szCs w:val="20"/>
              </w:rPr>
            </w:pPr>
          </w:p>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Presidente do Conselho Geral</w:t>
            </w:r>
          </w:p>
        </w:tc>
        <w:tc>
          <w:tcPr>
            <w:tcW w:w="6379" w:type="dxa"/>
          </w:tcPr>
          <w:p w:rsidR="0040544F" w:rsidRPr="004B3357" w:rsidRDefault="00F3403F" w:rsidP="00163A58">
            <w:pPr>
              <w:pStyle w:val="Default"/>
              <w:rPr>
                <w:rFonts w:ascii="Arial Narrow" w:hAnsi="Arial Narrow"/>
                <w:color w:val="auto"/>
                <w:sz w:val="20"/>
                <w:szCs w:val="20"/>
              </w:rPr>
            </w:pPr>
            <w:r w:rsidRPr="004B3357">
              <w:rPr>
                <w:rFonts w:ascii="Arial Narrow" w:hAnsi="Arial Narrow" w:cs="Times New Roman"/>
                <w:color w:val="auto"/>
                <w:sz w:val="20"/>
                <w:szCs w:val="20"/>
              </w:rPr>
              <w:t>Notificação dos dois árbitros que escolhem um terceiro árbitro para presidir (</w:t>
            </w:r>
            <w:r w:rsidRPr="004B3357">
              <w:rPr>
                <w:rFonts w:ascii="Arial Narrow" w:hAnsi="Arial Narrow"/>
                <w:color w:val="auto"/>
                <w:sz w:val="20"/>
                <w:szCs w:val="20"/>
              </w:rPr>
              <w:t>ponto 5 do artigo 25º do DR nº26 de 2012 de 21 de fevereiro).</w:t>
            </w:r>
          </w:p>
          <w:p w:rsidR="0040544F" w:rsidRPr="004B3357" w:rsidRDefault="00F61E71" w:rsidP="00163A58">
            <w:pPr>
              <w:pStyle w:val="Default"/>
              <w:rPr>
                <w:rFonts w:ascii="Arial Narrow" w:hAnsi="Arial Narrow"/>
                <w:color w:val="auto"/>
                <w:sz w:val="20"/>
                <w:szCs w:val="20"/>
              </w:rPr>
            </w:pPr>
          </w:p>
          <w:p w:rsidR="0040544F" w:rsidRPr="004B3357" w:rsidRDefault="00F61E71" w:rsidP="00163A58">
            <w:pPr>
              <w:pStyle w:val="Default"/>
              <w:rPr>
                <w:rFonts w:ascii="Arial Narrow" w:hAnsi="Arial Narrow"/>
                <w:color w:val="auto"/>
                <w:sz w:val="20"/>
                <w:szCs w:val="20"/>
              </w:rPr>
            </w:pPr>
          </w:p>
          <w:p w:rsidR="0040544F" w:rsidRPr="004B3357" w:rsidRDefault="00F61E71" w:rsidP="00163A58">
            <w:pPr>
              <w:pStyle w:val="Default"/>
              <w:rPr>
                <w:rFonts w:ascii="Arial Narrow" w:hAnsi="Arial Narrow"/>
                <w:color w:val="auto"/>
                <w:sz w:val="20"/>
                <w:szCs w:val="20"/>
              </w:rPr>
            </w:pPr>
          </w:p>
          <w:p w:rsidR="0040544F" w:rsidRPr="004B3357" w:rsidRDefault="00F61E71" w:rsidP="00851228">
            <w:pPr>
              <w:spacing w:after="0" w:line="240" w:lineRule="auto"/>
              <w:rPr>
                <w:rFonts w:ascii="Arial Narrow" w:hAnsi="Arial Narrow"/>
                <w:sz w:val="20"/>
                <w:szCs w:val="20"/>
              </w:rPr>
            </w:pP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No prazo de 5 dias úteis após a apresentação das contra- alegações</w:t>
            </w:r>
          </w:p>
        </w:tc>
        <w:tc>
          <w:tcPr>
            <w:tcW w:w="3969" w:type="dxa"/>
            <w:vMerge w:val="restart"/>
          </w:tcPr>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673722">
            <w:pPr>
              <w:pStyle w:val="Default"/>
              <w:rPr>
                <w:rFonts w:ascii="Arial Narrow" w:hAnsi="Arial Narrow" w:cs="Times New Roman"/>
                <w:color w:val="auto"/>
                <w:sz w:val="20"/>
                <w:szCs w:val="20"/>
              </w:rPr>
            </w:pPr>
          </w:p>
          <w:p w:rsidR="0040544F" w:rsidRPr="004B3357" w:rsidRDefault="00F3403F" w:rsidP="00673722">
            <w:pPr>
              <w:pStyle w:val="Default"/>
              <w:rPr>
                <w:rFonts w:ascii="Arial Narrow" w:hAnsi="Arial Narrow"/>
                <w:color w:val="auto"/>
                <w:sz w:val="20"/>
                <w:szCs w:val="20"/>
              </w:rPr>
            </w:pPr>
            <w:r w:rsidRPr="004B3357">
              <w:rPr>
                <w:rFonts w:ascii="Arial Narrow" w:hAnsi="Arial Narrow" w:cs="Times New Roman"/>
                <w:color w:val="auto"/>
                <w:sz w:val="20"/>
                <w:szCs w:val="20"/>
              </w:rPr>
              <w:t xml:space="preserve">Nomear o terceiro árbitro. </w:t>
            </w:r>
          </w:p>
        </w:tc>
      </w:tr>
      <w:tr w:rsidR="006E4510" w:rsidRPr="004B3357" w:rsidTr="00B61DAA">
        <w:trPr>
          <w:trHeight w:val="1430"/>
        </w:trPr>
        <w:tc>
          <w:tcPr>
            <w:tcW w:w="1702" w:type="dxa"/>
            <w:vMerge/>
          </w:tcPr>
          <w:p w:rsidR="0040544F" w:rsidRPr="004B3357" w:rsidRDefault="00F61E71" w:rsidP="00851228">
            <w:pPr>
              <w:spacing w:after="0" w:line="240" w:lineRule="auto"/>
              <w:jc w:val="center"/>
              <w:rPr>
                <w:rFonts w:ascii="Arial Narrow" w:hAnsi="Arial Narrow"/>
                <w:b/>
              </w:rPr>
            </w:pPr>
          </w:p>
        </w:tc>
        <w:tc>
          <w:tcPr>
            <w:tcW w:w="1417" w:type="dxa"/>
            <w:vMerge/>
          </w:tcPr>
          <w:p w:rsidR="0040544F" w:rsidRPr="004B3357" w:rsidRDefault="00F61E71" w:rsidP="00851228">
            <w:pPr>
              <w:spacing w:after="0" w:line="240" w:lineRule="auto"/>
              <w:jc w:val="center"/>
              <w:rPr>
                <w:rFonts w:ascii="Arial Narrow" w:hAnsi="Arial Narrow"/>
                <w:sz w:val="20"/>
                <w:szCs w:val="20"/>
              </w:rPr>
            </w:pPr>
          </w:p>
        </w:tc>
        <w:tc>
          <w:tcPr>
            <w:tcW w:w="6379" w:type="dxa"/>
          </w:tcPr>
          <w:p w:rsidR="0040544F" w:rsidRPr="004B3357" w:rsidRDefault="00F3403F" w:rsidP="00163A58">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Caso não haja acordo entre os dois árbitros, relativamente à escolha do terceiro árbitro, o Presidente do Conselho Geral  designará o mesmo (p</w:t>
            </w:r>
            <w:r w:rsidRPr="004B3357">
              <w:rPr>
                <w:rFonts w:ascii="Arial Narrow" w:hAnsi="Arial Narrow"/>
                <w:color w:val="auto"/>
                <w:sz w:val="20"/>
                <w:szCs w:val="20"/>
              </w:rPr>
              <w:t>onto 6 do artigo 25º do DR nº26 de 2012 de 21 de fevereiro).</w:t>
            </w:r>
          </w:p>
          <w:p w:rsidR="0040544F" w:rsidRPr="004B3357" w:rsidRDefault="00F61E71" w:rsidP="00673722">
            <w:pPr>
              <w:pStyle w:val="Default"/>
              <w:rPr>
                <w:rFonts w:ascii="Arial Narrow" w:hAnsi="Arial Narrow" w:cs="Times New Roman"/>
                <w:color w:val="auto"/>
                <w:sz w:val="20"/>
                <w:szCs w:val="20"/>
              </w:rPr>
            </w:pPr>
          </w:p>
          <w:p w:rsidR="0040544F" w:rsidRPr="004B3357" w:rsidRDefault="00F61E71" w:rsidP="00851228">
            <w:pPr>
              <w:spacing w:after="0" w:line="240" w:lineRule="auto"/>
              <w:rPr>
                <w:rFonts w:ascii="Arial Narrow" w:hAnsi="Arial Narrow"/>
                <w:sz w:val="20"/>
                <w:szCs w:val="20"/>
              </w:rPr>
            </w:pP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No prazo de 2 dias úteis após o conhecimento da falta de acordo</w:t>
            </w:r>
          </w:p>
        </w:tc>
        <w:tc>
          <w:tcPr>
            <w:tcW w:w="3969" w:type="dxa"/>
            <w:vMerge/>
          </w:tcPr>
          <w:p w:rsidR="0040544F" w:rsidRPr="004B3357" w:rsidRDefault="00F61E71" w:rsidP="00673722">
            <w:pPr>
              <w:pStyle w:val="Default"/>
              <w:rPr>
                <w:rFonts w:ascii="Arial Narrow" w:hAnsi="Arial Narrow"/>
                <w:color w:val="auto"/>
                <w:sz w:val="20"/>
                <w:szCs w:val="20"/>
              </w:rPr>
            </w:pPr>
          </w:p>
        </w:tc>
      </w:tr>
      <w:tr w:rsidR="006E4510" w:rsidRPr="004B3357" w:rsidTr="00851228">
        <w:trPr>
          <w:trHeight w:val="527"/>
        </w:trPr>
        <w:tc>
          <w:tcPr>
            <w:tcW w:w="1702" w:type="dxa"/>
            <w:vMerge/>
          </w:tcPr>
          <w:p w:rsidR="0040544F" w:rsidRPr="004B3357" w:rsidRDefault="00F61E71" w:rsidP="00851228">
            <w:pPr>
              <w:spacing w:after="0" w:line="240" w:lineRule="auto"/>
              <w:jc w:val="center"/>
              <w:rPr>
                <w:rFonts w:ascii="Arial Narrow" w:hAnsi="Arial Narrow"/>
                <w:b/>
              </w:rPr>
            </w:pPr>
          </w:p>
        </w:tc>
        <w:tc>
          <w:tcPr>
            <w:tcW w:w="1417" w:type="dxa"/>
          </w:tcPr>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Árbitros e Presidente do Conselho Geral ou quem o substitua</w:t>
            </w:r>
          </w:p>
        </w:tc>
        <w:tc>
          <w:tcPr>
            <w:tcW w:w="6379" w:type="dxa"/>
          </w:tcPr>
          <w:p w:rsidR="0040544F" w:rsidRPr="004B3357" w:rsidRDefault="00F3403F" w:rsidP="00163A58">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Submissão da proposta de decisão de recurso a homologação do Presidente do Conselho Geral </w:t>
            </w:r>
            <w:r w:rsidRPr="004B3357">
              <w:rPr>
                <w:rFonts w:ascii="Arial Narrow" w:hAnsi="Arial Narrow"/>
                <w:color w:val="auto"/>
                <w:sz w:val="20"/>
                <w:szCs w:val="20"/>
              </w:rPr>
              <w:t>(ponto 7 do artigo 25º do DR nº26 de 2012 de 21 de fevereiro).</w:t>
            </w:r>
          </w:p>
          <w:p w:rsidR="0040544F" w:rsidRPr="004B3357" w:rsidRDefault="00F61E71" w:rsidP="00851228">
            <w:pPr>
              <w:spacing w:after="0" w:line="240" w:lineRule="auto"/>
              <w:rPr>
                <w:rFonts w:ascii="Arial Narrow" w:hAnsi="Arial Narrow"/>
                <w:sz w:val="20"/>
                <w:szCs w:val="20"/>
              </w:rPr>
            </w:pP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No prazo de 10 dias úteis</w:t>
            </w:r>
          </w:p>
        </w:tc>
        <w:tc>
          <w:tcPr>
            <w:tcW w:w="3969" w:type="dxa"/>
          </w:tcPr>
          <w:p w:rsidR="0040544F" w:rsidRPr="004B3357" w:rsidRDefault="00F3403F" w:rsidP="00673722">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Apresentar a proposta de decisão do recurso. </w:t>
            </w:r>
          </w:p>
          <w:p w:rsidR="0040544F" w:rsidRPr="004B3357" w:rsidRDefault="00F61E71" w:rsidP="00673722">
            <w:pPr>
              <w:pStyle w:val="Default"/>
              <w:rPr>
                <w:rFonts w:ascii="Arial Narrow" w:hAnsi="Arial Narrow" w:cs="Times New Roman"/>
                <w:color w:val="auto"/>
                <w:sz w:val="20"/>
                <w:szCs w:val="20"/>
              </w:rPr>
            </w:pPr>
          </w:p>
        </w:tc>
      </w:tr>
      <w:tr w:rsidR="006E4510" w:rsidRPr="004B3357" w:rsidTr="00B61DAA">
        <w:trPr>
          <w:trHeight w:val="476"/>
        </w:trPr>
        <w:tc>
          <w:tcPr>
            <w:tcW w:w="1702" w:type="dxa"/>
            <w:vMerge/>
          </w:tcPr>
          <w:p w:rsidR="0040544F" w:rsidRPr="004B3357" w:rsidRDefault="00F61E71" w:rsidP="00851228">
            <w:pPr>
              <w:spacing w:after="0" w:line="240" w:lineRule="auto"/>
              <w:jc w:val="center"/>
              <w:rPr>
                <w:rFonts w:ascii="Arial Narrow" w:hAnsi="Arial Narrow"/>
                <w:b/>
              </w:rPr>
            </w:pPr>
          </w:p>
        </w:tc>
        <w:tc>
          <w:tcPr>
            <w:tcW w:w="1417" w:type="dxa"/>
          </w:tcPr>
          <w:p w:rsidR="0040544F" w:rsidRPr="004B3357" w:rsidRDefault="00F3403F" w:rsidP="00851228">
            <w:pPr>
              <w:spacing w:after="0" w:line="240" w:lineRule="auto"/>
              <w:jc w:val="center"/>
              <w:rPr>
                <w:rFonts w:ascii="Arial Narrow" w:hAnsi="Arial Narrow"/>
                <w:sz w:val="20"/>
                <w:szCs w:val="20"/>
              </w:rPr>
            </w:pPr>
            <w:r w:rsidRPr="004B3357">
              <w:rPr>
                <w:rFonts w:ascii="Arial Narrow" w:hAnsi="Arial Narrow"/>
                <w:sz w:val="20"/>
                <w:szCs w:val="20"/>
              </w:rPr>
              <w:t>Presidente do Conselho Geral</w:t>
            </w:r>
          </w:p>
        </w:tc>
        <w:tc>
          <w:tcPr>
            <w:tcW w:w="6379" w:type="dxa"/>
          </w:tcPr>
          <w:p w:rsidR="0040544F" w:rsidRPr="004B3357" w:rsidRDefault="00F3403F" w:rsidP="00673722">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Homologação da proposta de decisão de recurso </w:t>
            </w:r>
          </w:p>
          <w:p w:rsidR="0040544F" w:rsidRPr="004B3357" w:rsidRDefault="00F3403F" w:rsidP="00163A58">
            <w:pPr>
              <w:pStyle w:val="Default"/>
              <w:rPr>
                <w:rFonts w:ascii="Arial Narrow" w:hAnsi="Arial Narrow" w:cs="Times New Roman"/>
                <w:color w:val="auto"/>
                <w:sz w:val="20"/>
                <w:szCs w:val="20"/>
              </w:rPr>
            </w:pPr>
            <w:r w:rsidRPr="004B3357">
              <w:rPr>
                <w:rFonts w:ascii="Arial Narrow" w:hAnsi="Arial Narrow"/>
                <w:color w:val="auto"/>
                <w:sz w:val="20"/>
                <w:szCs w:val="20"/>
              </w:rPr>
              <w:t>(ponto 8 do artigo 25º do DR nº26 de 2012 de 21 de fevereiro).</w:t>
            </w:r>
          </w:p>
        </w:tc>
        <w:tc>
          <w:tcPr>
            <w:tcW w:w="1276" w:type="dxa"/>
          </w:tcPr>
          <w:p w:rsidR="0040544F" w:rsidRPr="004B3357" w:rsidRDefault="00F3403F" w:rsidP="00851228">
            <w:pPr>
              <w:spacing w:after="0" w:line="240" w:lineRule="auto"/>
              <w:rPr>
                <w:rFonts w:ascii="Arial Narrow" w:hAnsi="Arial Narrow"/>
                <w:sz w:val="20"/>
                <w:szCs w:val="20"/>
              </w:rPr>
            </w:pPr>
            <w:r w:rsidRPr="004B3357">
              <w:rPr>
                <w:rFonts w:ascii="Arial Narrow" w:hAnsi="Arial Narrow"/>
                <w:sz w:val="20"/>
                <w:szCs w:val="20"/>
              </w:rPr>
              <w:t>No prazo de 5 dias úteis</w:t>
            </w:r>
          </w:p>
        </w:tc>
        <w:tc>
          <w:tcPr>
            <w:tcW w:w="3969" w:type="dxa"/>
          </w:tcPr>
          <w:p w:rsidR="0040544F" w:rsidRPr="004B3357" w:rsidRDefault="00F3403F" w:rsidP="00673722">
            <w:pPr>
              <w:pStyle w:val="Default"/>
              <w:rPr>
                <w:rFonts w:ascii="Arial Narrow" w:hAnsi="Arial Narrow" w:cs="Times New Roman"/>
                <w:color w:val="auto"/>
                <w:sz w:val="20"/>
                <w:szCs w:val="20"/>
              </w:rPr>
            </w:pPr>
            <w:r w:rsidRPr="004B3357">
              <w:rPr>
                <w:rFonts w:ascii="Arial Narrow" w:hAnsi="Arial Narrow" w:cs="Times New Roman"/>
                <w:color w:val="auto"/>
                <w:sz w:val="20"/>
                <w:szCs w:val="20"/>
              </w:rPr>
              <w:t xml:space="preserve">Homologar a decisão final. </w:t>
            </w:r>
          </w:p>
          <w:p w:rsidR="0040544F" w:rsidRPr="004B3357" w:rsidRDefault="00F61E71" w:rsidP="00851228">
            <w:pPr>
              <w:spacing w:after="0" w:line="240" w:lineRule="auto"/>
              <w:rPr>
                <w:rFonts w:ascii="Arial Narrow" w:hAnsi="Arial Narrow"/>
                <w:sz w:val="20"/>
                <w:szCs w:val="20"/>
              </w:rPr>
            </w:pPr>
          </w:p>
        </w:tc>
      </w:tr>
    </w:tbl>
    <w:p w:rsidR="0040544F" w:rsidRPr="004B3357" w:rsidRDefault="00F3403F" w:rsidP="00D27522">
      <w:pPr>
        <w:pStyle w:val="Default"/>
        <w:jc w:val="both"/>
        <w:rPr>
          <w:rFonts w:ascii="Arial Narrow" w:hAnsi="Arial Narrow"/>
          <w:color w:val="auto"/>
          <w:sz w:val="17"/>
          <w:szCs w:val="17"/>
        </w:rPr>
      </w:pPr>
      <w:r w:rsidRPr="004B3357">
        <w:rPr>
          <w:rFonts w:ascii="Arial Narrow" w:hAnsi="Arial Narrow"/>
          <w:b/>
          <w:bCs/>
          <w:color w:val="auto"/>
          <w:sz w:val="17"/>
          <w:szCs w:val="17"/>
        </w:rPr>
        <w:t xml:space="preserve">Notas: </w:t>
      </w:r>
    </w:p>
    <w:p w:rsidR="0040544F" w:rsidRPr="004B3357" w:rsidRDefault="00F3403F" w:rsidP="00D27522">
      <w:pPr>
        <w:pStyle w:val="Default"/>
        <w:jc w:val="both"/>
        <w:rPr>
          <w:rFonts w:ascii="Arial Narrow" w:hAnsi="Arial Narrow"/>
          <w:color w:val="auto"/>
          <w:sz w:val="17"/>
          <w:szCs w:val="17"/>
        </w:rPr>
      </w:pPr>
      <w:r w:rsidRPr="004B3357">
        <w:rPr>
          <w:rFonts w:ascii="Arial Narrow" w:hAnsi="Arial Narrow"/>
          <w:color w:val="auto"/>
          <w:sz w:val="17"/>
          <w:szCs w:val="17"/>
        </w:rPr>
        <w:t xml:space="preserve">1. O ciclo de avaliação do desempenho dos docentes em regime de contrato a termo tem como limite mínimo 180 dias de serviço letivo efetivamente prestado. </w:t>
      </w:r>
    </w:p>
    <w:p w:rsidR="0040544F" w:rsidRPr="004B3357" w:rsidRDefault="00F3403F" w:rsidP="00D27522">
      <w:pPr>
        <w:pStyle w:val="Default"/>
        <w:jc w:val="both"/>
        <w:rPr>
          <w:rFonts w:ascii="Arial Narrow" w:hAnsi="Arial Narrow"/>
          <w:color w:val="auto"/>
          <w:sz w:val="17"/>
          <w:szCs w:val="17"/>
        </w:rPr>
      </w:pPr>
      <w:r w:rsidRPr="004B3357">
        <w:rPr>
          <w:rFonts w:ascii="Arial Narrow" w:hAnsi="Arial Narrow"/>
          <w:color w:val="auto"/>
          <w:sz w:val="17"/>
          <w:szCs w:val="17"/>
        </w:rPr>
        <w:t xml:space="preserve">2. Quando o limite mínimo referido no número anterior resultar da celebração de mais do que um contrato a termo, a avaliação realizada pelo agrupamento de escolas ou escola não agrupada, cujo contrato termine em último lugar, recolhidos os elementos os elementos avaliativos das outras escolas. </w:t>
      </w:r>
    </w:p>
    <w:p w:rsidR="0040544F" w:rsidRPr="004B3357" w:rsidRDefault="00F3403F" w:rsidP="00163A58">
      <w:pPr>
        <w:pStyle w:val="Default"/>
        <w:jc w:val="both"/>
        <w:rPr>
          <w:rFonts w:ascii="Arial Narrow" w:hAnsi="Arial Narrow"/>
          <w:color w:val="auto"/>
          <w:sz w:val="17"/>
          <w:szCs w:val="17"/>
        </w:rPr>
      </w:pPr>
      <w:r w:rsidRPr="004B3357">
        <w:rPr>
          <w:rFonts w:ascii="Arial Narrow" w:hAnsi="Arial Narrow"/>
          <w:color w:val="auto"/>
          <w:sz w:val="17"/>
          <w:szCs w:val="17"/>
        </w:rPr>
        <w:t xml:space="preserve">3. Se os contratos referidos no número anterior terminarem na mesma data, cabe ao docente optar pelo agrupamento de escolas que efetua a sua avaliação. </w:t>
      </w:r>
    </w:p>
    <w:p w:rsidR="0040544F" w:rsidRPr="004B3357" w:rsidRDefault="00F3403F" w:rsidP="00D27522">
      <w:pPr>
        <w:pStyle w:val="Default"/>
        <w:rPr>
          <w:rFonts w:ascii="Arial Narrow" w:hAnsi="Arial Narrow" w:cs="Times New Roman"/>
          <w:b/>
          <w:color w:val="auto"/>
          <w:sz w:val="17"/>
          <w:szCs w:val="17"/>
        </w:rPr>
      </w:pPr>
      <w:r w:rsidRPr="004B3357">
        <w:rPr>
          <w:rFonts w:ascii="Arial Narrow" w:hAnsi="Arial Narrow" w:cs="Times New Roman"/>
          <w:b/>
          <w:color w:val="auto"/>
          <w:sz w:val="17"/>
          <w:szCs w:val="17"/>
        </w:rPr>
        <w:t xml:space="preserve">Legislação a consultar: </w:t>
      </w:r>
    </w:p>
    <w:p w:rsidR="0040544F" w:rsidRPr="004B3357" w:rsidRDefault="00F3403F" w:rsidP="00163A58">
      <w:pPr>
        <w:pStyle w:val="Default"/>
        <w:rPr>
          <w:rFonts w:ascii="Arial Narrow" w:hAnsi="Arial Narrow" w:cs="Times New Roman"/>
          <w:color w:val="auto"/>
          <w:sz w:val="17"/>
          <w:szCs w:val="17"/>
        </w:rPr>
      </w:pPr>
      <w:r w:rsidRPr="004B3357">
        <w:rPr>
          <w:rFonts w:ascii="Arial Narrow" w:hAnsi="Arial Narrow" w:cs="Times New Roman"/>
          <w:color w:val="auto"/>
          <w:sz w:val="17"/>
          <w:szCs w:val="17"/>
        </w:rPr>
        <w:lastRenderedPageBreak/>
        <w:t xml:space="preserve">Decreto Regulamentar n.º 26/2012, de 21 de fevereiro | Regulamenta o sistema de avaliação do desempenho do pessoal docente </w:t>
      </w:r>
    </w:p>
    <w:p w:rsidR="0040544F" w:rsidRPr="004B3357" w:rsidRDefault="00F3403F" w:rsidP="00163A58">
      <w:pPr>
        <w:pStyle w:val="Default"/>
        <w:rPr>
          <w:rFonts w:ascii="Arial Narrow" w:hAnsi="Arial Narrow" w:cs="Times New Roman"/>
          <w:color w:val="auto"/>
          <w:sz w:val="17"/>
          <w:szCs w:val="17"/>
        </w:rPr>
      </w:pPr>
      <w:r w:rsidRPr="004B3357">
        <w:rPr>
          <w:rFonts w:ascii="Arial Narrow" w:hAnsi="Arial Narrow" w:cs="Times New Roman"/>
          <w:color w:val="auto"/>
          <w:sz w:val="17"/>
          <w:szCs w:val="17"/>
        </w:rPr>
        <w:t xml:space="preserve">Decreto-Lei n.º 41/2012, de 21 de fevereiro | Estabelece as alterações do Estatuto da Carreira Docente </w:t>
      </w:r>
    </w:p>
    <w:p w:rsidR="0040544F" w:rsidRPr="004B3357" w:rsidRDefault="00F3403F" w:rsidP="00163A58">
      <w:pPr>
        <w:pStyle w:val="Default"/>
        <w:rPr>
          <w:rFonts w:ascii="Arial Narrow" w:hAnsi="Arial Narrow" w:cs="Times New Roman"/>
          <w:color w:val="auto"/>
          <w:sz w:val="17"/>
          <w:szCs w:val="17"/>
        </w:rPr>
      </w:pPr>
      <w:r w:rsidRPr="004B3357">
        <w:rPr>
          <w:rFonts w:ascii="Arial Narrow" w:hAnsi="Arial Narrow" w:cs="Times New Roman"/>
          <w:color w:val="auto"/>
          <w:sz w:val="17"/>
          <w:szCs w:val="17"/>
        </w:rPr>
        <w:t xml:space="preserve">Despacho n.º 12566/2012, de 26 de setembro | Estabelece os universos e os critérios para a determinação dos percentis relativos à atribuição das menções qualitativas de Excelente e de Muito Bom. </w:t>
      </w:r>
    </w:p>
    <w:sectPr w:rsidR="0040544F" w:rsidRPr="004B3357" w:rsidSect="00B61DAA">
      <w:footerReference w:type="default" r:id="rId6"/>
      <w:pgSz w:w="16838" w:h="11906" w:orient="landscape"/>
      <w:pgMar w:top="426" w:right="709"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71" w:rsidRDefault="00F61E71">
      <w:pPr>
        <w:spacing w:after="0" w:line="240" w:lineRule="auto"/>
      </w:pPr>
      <w:r>
        <w:separator/>
      </w:r>
    </w:p>
  </w:endnote>
  <w:endnote w:type="continuationSeparator" w:id="1">
    <w:p w:rsidR="00F61E71" w:rsidRDefault="00F61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4F" w:rsidRDefault="00C1251A">
    <w:pPr>
      <w:pStyle w:val="Rodap"/>
      <w:jc w:val="right"/>
    </w:pPr>
    <w:r>
      <w:fldChar w:fldCharType="begin"/>
    </w:r>
    <w:r w:rsidR="00F3403F">
      <w:instrText>PAGE   \* MERGEFORMAT</w:instrText>
    </w:r>
    <w:r>
      <w:fldChar w:fldCharType="separate"/>
    </w:r>
    <w:r w:rsidR="004B3357">
      <w:rPr>
        <w:noProof/>
      </w:rPr>
      <w:t>4</w:t>
    </w:r>
    <w:r>
      <w:rPr>
        <w:noProof/>
      </w:rPr>
      <w:fldChar w:fldCharType="end"/>
    </w:r>
  </w:p>
  <w:p w:rsidR="0040544F" w:rsidRDefault="00F61E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71" w:rsidRDefault="00F61E71">
      <w:pPr>
        <w:spacing w:after="0" w:line="240" w:lineRule="auto"/>
      </w:pPr>
      <w:r>
        <w:separator/>
      </w:r>
    </w:p>
  </w:footnote>
  <w:footnote w:type="continuationSeparator" w:id="1">
    <w:p w:rsidR="00F61E71" w:rsidRDefault="00F61E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E4510"/>
    <w:rsid w:val="00242AB4"/>
    <w:rsid w:val="00310DD9"/>
    <w:rsid w:val="00351BDC"/>
    <w:rsid w:val="00425C1E"/>
    <w:rsid w:val="004B3357"/>
    <w:rsid w:val="005E735B"/>
    <w:rsid w:val="006E4510"/>
    <w:rsid w:val="009450DC"/>
    <w:rsid w:val="009C5F4F"/>
    <w:rsid w:val="009E342E"/>
    <w:rsid w:val="00AF4990"/>
    <w:rsid w:val="00B97A27"/>
    <w:rsid w:val="00C1251A"/>
    <w:rsid w:val="00C906EF"/>
    <w:rsid w:val="00E30B6D"/>
    <w:rsid w:val="00EB3109"/>
    <w:rsid w:val="00F3403F"/>
    <w:rsid w:val="00F61E7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A5"/>
    <w:pPr>
      <w:spacing w:after="200" w:line="276"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99"/>
    <w:rsid w:val="000F20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27522"/>
    <w:pPr>
      <w:autoSpaceDE w:val="0"/>
      <w:autoSpaceDN w:val="0"/>
      <w:adjustRightInd w:val="0"/>
    </w:pPr>
    <w:rPr>
      <w:rFonts w:cs="Calibri"/>
      <w:color w:val="000000"/>
      <w:sz w:val="24"/>
      <w:szCs w:val="24"/>
      <w:lang w:eastAsia="en-US"/>
    </w:rPr>
  </w:style>
  <w:style w:type="paragraph" w:styleId="Cabealho">
    <w:name w:val="header"/>
    <w:basedOn w:val="Normal"/>
    <w:link w:val="CabealhoCarcter"/>
    <w:uiPriority w:val="99"/>
    <w:rsid w:val="00D2752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locked/>
    <w:rsid w:val="00D27522"/>
    <w:rPr>
      <w:rFonts w:cs="Times New Roman"/>
    </w:rPr>
  </w:style>
  <w:style w:type="paragraph" w:styleId="Rodap">
    <w:name w:val="footer"/>
    <w:basedOn w:val="Normal"/>
    <w:link w:val="RodapCarcter"/>
    <w:uiPriority w:val="99"/>
    <w:rsid w:val="00D2752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locked/>
    <w:rsid w:val="00D275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A5"/>
    <w:pPr>
      <w:spacing w:after="200" w:line="276"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99"/>
    <w:rsid w:val="000F20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27522"/>
    <w:pPr>
      <w:autoSpaceDE w:val="0"/>
      <w:autoSpaceDN w:val="0"/>
      <w:adjustRightInd w:val="0"/>
    </w:pPr>
    <w:rPr>
      <w:rFonts w:cs="Calibri"/>
      <w:color w:val="000000"/>
      <w:sz w:val="24"/>
      <w:szCs w:val="24"/>
      <w:lang w:eastAsia="en-US"/>
    </w:rPr>
  </w:style>
  <w:style w:type="paragraph" w:styleId="Cabealho">
    <w:name w:val="header"/>
    <w:basedOn w:val="Normal"/>
    <w:link w:val="CabealhoCarcter"/>
    <w:uiPriority w:val="99"/>
    <w:rsid w:val="00D2752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locked/>
    <w:rsid w:val="00D27522"/>
    <w:rPr>
      <w:rFonts w:cs="Times New Roman"/>
    </w:rPr>
  </w:style>
  <w:style w:type="paragraph" w:styleId="Rodap">
    <w:name w:val="footer"/>
    <w:basedOn w:val="Normal"/>
    <w:link w:val="RodapCarcter"/>
    <w:uiPriority w:val="99"/>
    <w:rsid w:val="00D2752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locked/>
    <w:rsid w:val="00D275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7345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Isaura</dc:creator>
  <cp:lastModifiedBy>Secretariado1</cp:lastModifiedBy>
  <cp:revision>5</cp:revision>
  <cp:lastPrinted>2013-04-17T16:27:00Z</cp:lastPrinted>
  <dcterms:created xsi:type="dcterms:W3CDTF">2013-06-20T11:59:00Z</dcterms:created>
  <dcterms:modified xsi:type="dcterms:W3CDTF">2013-06-20T17:43:00Z</dcterms:modified>
</cp:coreProperties>
</file>